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0" w:beforeAutospacing="0" w:after="4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34"/>
          <w:szCs w:val="3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34"/>
          <w:szCs w:val="34"/>
          <w:bdr w:val="none" w:color="auto" w:sz="0" w:space="0"/>
        </w:rPr>
        <w:t>山西省免征小微企业行政事业性收费项目目录清单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34"/>
          <w:szCs w:val="34"/>
          <w:bdr w:val="none" w:color="auto" w:sz="0" w:space="0"/>
        </w:rPr>
      </w:pPr>
    </w:p>
    <w:tbl>
      <w:tblPr>
        <w:tblW w:w="10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01"/>
        <w:gridCol w:w="3529"/>
        <w:gridCol w:w="1054"/>
        <w:gridCol w:w="1772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减免条件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减免期限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政策依据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国土资源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1、不动产登记费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2016年7月12日起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财税[2016]79号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2、渔业资源增殖保护费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2015年1月1日起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财税[2014]101号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食品药品监督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2015年1月1日起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财税[2014]101号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 药品注册费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(1)新药注册费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2015年4月21日起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财税[2015]2号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4.医疗器械产品注册费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(1)首次注册费（申请创新医疗产品注册）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2015年4月21日起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财税[2015]2号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5.专利收费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2016年9月1日起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财税[2016]78号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Y2NmNGMyY2Q5NmFjNTYzODVkODY1NjYwNzA0NzEifQ=="/>
  </w:docVars>
  <w:rsids>
    <w:rsidRoot w:val="18051484"/>
    <w:rsid w:val="180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298</Characters>
  <Lines>0</Lines>
  <Paragraphs>0</Paragraphs>
  <TotalTime>1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2023-04-11T02:48:00Z</dcterms:created>
  <dc:creator>lenovo</dc:creator>
  <cp:lastModifiedBy>lenovo</cp:lastModifiedBy>
  <dcterms:modified xsi:type="dcterms:W3CDTF">2023-04-11T02:49:12Z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AA55F4539F314D41A02F3F536DFCD480_11</vt:lpwstr>
  </property>
</Properties>
</file>