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权责清单目录</w:t>
      </w:r>
    </w:p>
    <w:p>
      <w:pPr>
        <w:ind w:left="960" w:hanging="960" w:hangingChars="4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单位名称：</w:t>
      </w:r>
      <w:r>
        <w:rPr>
          <w:rFonts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>山西省忻州市保德县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  <w:u w:val="single"/>
        </w:rPr>
        <w:t xml:space="preserve">发改局                </w:t>
      </w:r>
      <w:r>
        <w:rPr>
          <w:rFonts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>（委办局）</w:t>
      </w:r>
      <w:r>
        <w:rPr>
          <w:rFonts w:ascii="宋体" w:hAnsi="宋体" w:cs="宋体"/>
          <w:sz w:val="24"/>
        </w:rPr>
        <w:t xml:space="preserve">                        </w:t>
      </w:r>
      <w:r>
        <w:rPr>
          <w:rFonts w:hint="eastAsia" w:ascii="宋体" w:hAnsi="宋体" w:cs="宋体"/>
          <w:sz w:val="24"/>
        </w:rPr>
        <w:t>2020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 xml:space="preserve"> 月 </w:t>
      </w:r>
      <w:r>
        <w:rPr>
          <w:rFonts w:hint="eastAsia" w:ascii="宋体" w:hAnsi="宋体" w:cs="宋体"/>
          <w:sz w:val="24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 w:cs="宋体"/>
          <w:sz w:val="24"/>
        </w:rPr>
        <w:t xml:space="preserve">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419"/>
        <w:gridCol w:w="2362"/>
        <w:gridCol w:w="2381"/>
        <w:gridCol w:w="2907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事项编码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事项名称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事项类别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实施主体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权力级别（省、市、县）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0100-Z-01100-140931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政府定价权限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907" w:type="dxa"/>
            <w:vAlign w:val="center"/>
          </w:tcPr>
          <w:p>
            <w:pPr>
              <w:ind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保德县发改局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C0C0C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事项依据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法律法规】《中华人民共和国价格法》第三条、第四条、第五条 </w:t>
            </w:r>
          </w:p>
          <w:p>
            <w:pPr>
              <w:spacing w:line="36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【部门规章】《中央定价目录》（2016年国家发展改革委员会令第29号） </w:t>
            </w:r>
          </w:p>
          <w:p>
            <w:pPr>
              <w:spacing w:line="36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【部门规章】《政府制定价格行为规则》（2017年国家发展改革委员会令第7号） 第二条 第三条 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【规范性文件】《山西省定价目录》（晋发改法规发[2018]64号）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1.受理责任：一次性告知补正材料；依法受理或不予受理（不予受理应当告知理由）。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2.审查责任：按照法律法规规定审核相关文书材料；提出初审意见。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3.决定责任：作出批复或者不予批复决定（不予批复的应当告知理由）。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4.送达责任：制发送达文书；信息公开。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5.事后监管责任：建立实施监督检查的运行机制和管理制度，开展定期和不定期检查，依法采取相关处置措施。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6.其他：法律法规规章规定应履行的责任。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  <w:shd w:val="clear" w:color="auto" w:fill="FFFFFF"/>
              </w:rPr>
              <w:t>《</w:t>
            </w:r>
            <w:r>
              <w:rPr>
                <w:rFonts w:hint="eastAsia" w:ascii="宋体" w:hAnsi="宋体" w:cs="仿宋"/>
                <w:szCs w:val="21"/>
              </w:rPr>
              <w:t>行政机关公务员处罚条例》第十九条～第二十一条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《中国共产党纪律处分条例》第七十四条、八十五条、一百二十四条、一百二十七条、一百三十四条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《中华人民共和国价格法》第四十六条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其他法律法规的相关规定</w:t>
            </w:r>
          </w:p>
        </w:tc>
      </w:tr>
    </w:tbl>
    <w:p/>
    <w:p/>
    <w:p/>
    <w:p/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419"/>
        <w:gridCol w:w="2362"/>
        <w:gridCol w:w="2381"/>
        <w:gridCol w:w="2907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事项编码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事项名称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事项类别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实施主体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权力级别（省、市、县）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0100-Z-01200-140931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政府定价成本监审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907" w:type="dxa"/>
            <w:vAlign w:val="center"/>
          </w:tcPr>
          <w:p>
            <w:pPr>
              <w:ind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保德县发改局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C0C0C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事项依据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【法律】《中华人民共和国价格法》第二十二条 </w:t>
            </w:r>
          </w:p>
          <w:p>
            <w:pPr>
              <w:spacing w:line="36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【部门规章】《政府制定价格成本监审办法》（2017年国家发展和改革委员会第8号令）第四条 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【部门规章】《政府制定价格行为规则》（2017年国家发展和改革委员会令第7号）第九条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1.受理责任：收到委领导批转来的申请成本监审的相关材料后，初审并一次性告知需补充的材料；依法受理或不予受理（不予受理应下发“中止监审通知书”并告知理由）；下发监审通知并转入正常监审程序。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2.审核责任：按照《政府制定价格成本监审办法》等有关规定，遵照公平、公正、合理的原则，依法对被审核单位上报的相关成本资料进行监审；提出初步审核意见。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3.决定责任：在征求被审核单位意见的基础上，经委领导审签后，签发成本监审结论报告。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4.其他：法律法规规章规定应履行的责任。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  <w:shd w:val="clear" w:color="auto" w:fill="FFFFFF"/>
              </w:rPr>
              <w:t>《</w:t>
            </w:r>
            <w:r>
              <w:rPr>
                <w:rFonts w:hint="eastAsia" w:ascii="宋体" w:hAnsi="宋体" w:cs="仿宋"/>
                <w:szCs w:val="21"/>
              </w:rPr>
              <w:t>行政机关公务员处罚条例》第十九条～第二十一条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《中国共产党纪律处分条例》第七十四条、八十五条、一百二十四条、一百二十七条、一百三十四条    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《中华人民共和国价格法》第四十六条 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《政府制定价格成本监审办法》（国家发展和改革委员会第42号令）第十八条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其他法律法规的相关规定</w:t>
            </w:r>
          </w:p>
        </w:tc>
      </w:tr>
    </w:tbl>
    <w:p/>
    <w:p/>
    <w:p/>
    <w:p/>
    <w:p/>
    <w:p/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419"/>
        <w:gridCol w:w="2362"/>
        <w:gridCol w:w="2381"/>
        <w:gridCol w:w="2907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事项编码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事项名称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事项类别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实施主体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权力级别（省、市、县）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0100-Z-01300-140931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价格监测预警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907" w:type="dxa"/>
            <w:vAlign w:val="center"/>
          </w:tcPr>
          <w:p>
            <w:pPr>
              <w:ind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保德县发改局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C0C0C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事项依据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【法律】《中华人民共和国价格法》第五条 第二十八条 </w:t>
            </w:r>
          </w:p>
          <w:p>
            <w:pPr>
              <w:spacing w:line="36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【部门规章】 《价格监测规定》（2003年国家发展和改革委员会令第1号） 第三条 第四条 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【政府规章】 《山西省价格监测办法》（2007年省政府令第211号）第四条 第十四条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1. 受理责任：收集各县价格主管部门、价格监测定点单位等有关单位和个人采集、报送的重要商品和服务价格的变动情况。 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2. 审查责任：市级价格主管部门对监测数据进行采集、汇总、审核、分析预测。 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3. 上报责任：市级价格主管部门在上级规定的时间内上报价格监测数据、信息等情况。 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4. 预测预警责任：当商品价格出现异常波动时，各级价格主管部门应加大价格监测力度，同时做好价格预测预警工作。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5. 其他:法律法规规章规定应履行的责任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  <w:shd w:val="clear" w:color="auto" w:fill="FFFFFF"/>
              </w:rPr>
              <w:t>《</w:t>
            </w:r>
            <w:r>
              <w:rPr>
                <w:rFonts w:hint="eastAsia" w:ascii="宋体" w:hAnsi="宋体" w:cs="仿宋"/>
                <w:szCs w:val="21"/>
              </w:rPr>
              <w:t>行政机关公务员处罚条例》第十九条～第二十一条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《中国共产党纪律处分条例》第七十四条、八十五条、一百二十四条、一百二十七条、一百三十四条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《价格监测规定》第二十一条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《山西省价格监测办法》（省政府令第211号）第十一条 第十二条 第十四条 第十七条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其他法律法规的相关规定</w:t>
            </w:r>
          </w:p>
        </w:tc>
      </w:tr>
    </w:tbl>
    <w:p/>
    <w:p/>
    <w:p/>
    <w:p/>
    <w:p/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419"/>
        <w:gridCol w:w="2362"/>
        <w:gridCol w:w="2381"/>
        <w:gridCol w:w="2907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事项编码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事项名称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事项类别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实施主体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权力级别（省、市、县）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0100-Z-01400-140931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中央预算内投资补助和贴息项目监管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907" w:type="dxa"/>
            <w:vAlign w:val="center"/>
          </w:tcPr>
          <w:p>
            <w:pPr>
              <w:ind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保德县发改局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C0C0C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事项依据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【部门规章】《中央预算内投资补助和贴息项目管理办法》（国家发改委令第3号） 第二十三条 第二十四条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1.制订方案责任：制定稽察工作方案。 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2.组建机构责任：组建稽察工作组，召开相关会议。 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3.检查责任：审查工程建设和运行档案资料；查验工程现场、资金使用等情况。 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4、下达整改通知：讨论并出具《整改意见书》，涉及其他事项移送相关部门处理。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5.其他法律法规规章规定应履行的责任。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  <w:shd w:val="clear" w:color="auto" w:fill="FFFFFF"/>
              </w:rPr>
              <w:t>《</w:t>
            </w:r>
            <w:r>
              <w:rPr>
                <w:rFonts w:hint="eastAsia" w:ascii="宋体" w:hAnsi="宋体" w:cs="仿宋"/>
                <w:szCs w:val="21"/>
              </w:rPr>
              <w:t>行政机关公务员处罚条例》第十九条～第二十一条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《中国共产党纪律处分条例》第七十四条、八十五条、一百二十四条、一百二十七条、一百三十四条   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《中央预算内投资补助和贴息项目管理办法</w:t>
            </w: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8B0B1C"/>
    <w:rsid w:val="00BE3675"/>
    <w:rsid w:val="00DC6051"/>
    <w:rsid w:val="00E0770D"/>
    <w:rsid w:val="0965126E"/>
    <w:rsid w:val="6A8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1881</Characters>
  <Lines>15</Lines>
  <Paragraphs>4</Paragraphs>
  <TotalTime>0</TotalTime>
  <ScaleCrop>false</ScaleCrop>
  <LinksUpToDate>false</LinksUpToDate>
  <CharactersWithSpaces>2206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2020-10-10T09:12:00Z</dcterms:created>
  <dc:creator>，囧</dc:creator>
  <cp:lastModifiedBy>带蜗牛去跑步</cp:lastModifiedBy>
  <dcterms:modified xsi:type="dcterms:W3CDTF">2020-10-14T03:03:02Z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