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660" w:lineRule="exact"/>
        <w:jc w:val="center"/>
        <w:rPr>
          <w:rFonts w:ascii="方正粗黑宋简体" w:hAnsi="方正粗黑宋简体" w:eastAsia="方正粗黑宋简体" w:cs="Arial Unicode MS"/>
          <w:bCs/>
          <w:color w:val="333333"/>
          <w:sz w:val="44"/>
          <w:szCs w:val="44"/>
        </w:rPr>
      </w:pPr>
      <w:r>
        <w:rPr>
          <w:rFonts w:hint="eastAsia" w:ascii="方正粗黑宋简体" w:hAnsi="方正粗黑宋简体" w:eastAsia="方正粗黑宋简体" w:cs="Arial Unicode MS"/>
          <w:bCs/>
          <w:color w:val="333333"/>
          <w:sz w:val="44"/>
          <w:szCs w:val="44"/>
        </w:rPr>
        <w:t>保德县交通运输局</w:t>
      </w:r>
      <w:bookmarkStart w:id="0" w:name="_GoBack"/>
      <w:bookmarkEnd w:id="0"/>
    </w:p>
    <w:p>
      <w:pPr>
        <w:pStyle w:val="4"/>
        <w:widowControl/>
        <w:spacing w:line="660" w:lineRule="exact"/>
        <w:jc w:val="center"/>
        <w:rPr>
          <w:rFonts w:ascii="方正粗黑宋简体" w:hAnsi="方正粗黑宋简体" w:eastAsia="方正粗黑宋简体" w:cs="Arial Unicode MS"/>
          <w:sz w:val="44"/>
          <w:szCs w:val="44"/>
        </w:rPr>
      </w:pPr>
      <w:r>
        <w:rPr>
          <w:rFonts w:hint="eastAsia" w:ascii="方正粗黑宋简体" w:hAnsi="方正粗黑宋简体" w:eastAsia="方正粗黑宋简体" w:cs="Arial Unicode MS"/>
          <w:bCs/>
          <w:color w:val="333333"/>
          <w:sz w:val="44"/>
          <w:szCs w:val="44"/>
        </w:rPr>
        <w:t>2023年政府信息公开工作年度报告</w:t>
      </w:r>
    </w:p>
    <w:p>
      <w:pPr>
        <w:pStyle w:val="4"/>
        <w:widowControl/>
        <w:adjustRightInd w:val="0"/>
        <w:snapToGrid w:val="0"/>
        <w:spacing w:line="360" w:lineRule="auto"/>
        <w:ind w:firstLine="420"/>
        <w:jc w:val="both"/>
        <w:rPr>
          <w:rFonts w:ascii="宋体" w:hAnsi="宋体"/>
          <w:b/>
          <w:bCs/>
          <w:color w:val="333333"/>
          <w:sz w:val="19"/>
          <w:szCs w:val="19"/>
        </w:rPr>
      </w:pPr>
    </w:p>
    <w:p>
      <w:pPr>
        <w:widowControl/>
        <w:shd w:val="clear" w:color="auto" w:fill="FFFFFF"/>
        <w:spacing w:line="600" w:lineRule="exact"/>
        <w:ind w:firstLine="640" w:firstLineChars="200"/>
        <w:rPr>
          <w:rFonts w:ascii="仿宋" w:hAnsi="仿宋" w:eastAsia="仿宋"/>
          <w:color w:val="333333"/>
          <w:kern w:val="0"/>
          <w:sz w:val="32"/>
          <w:szCs w:val="32"/>
        </w:rPr>
      </w:pPr>
      <w:r>
        <w:rPr>
          <w:rFonts w:hint="eastAsia" w:ascii="仿宋" w:hAnsi="仿宋" w:eastAsia="仿宋"/>
          <w:color w:val="666666"/>
          <w:sz w:val="32"/>
          <w:szCs w:val="32"/>
        </w:rPr>
        <w:t>2023年，在县委、县政府的正确领导下，我局以习近平新时代中国特色社会主义思想为指导，全面贯彻党的二十大精神，坚持以人民为中心的发展思想，认真落实党中央、国务院、省、市、县关于政务公开工作的决策部署，严格执行《中华人民共和国政府信息公开条例》有关规定，认真对信息进行梳理，及时、全面地把政策、法规、政务动态向外公布，健康有序地推进了交通信息公开工作。</w:t>
      </w:r>
      <w:r>
        <w:rPr>
          <w:rFonts w:hint="eastAsia" w:ascii="仿宋" w:hAnsi="仿宋" w:eastAsia="仿宋"/>
          <w:color w:val="333333"/>
          <w:kern w:val="0"/>
          <w:sz w:val="32"/>
          <w:szCs w:val="32"/>
        </w:rPr>
        <w:t>本报告依据《中华人民共和国政府信息公开条例》相关规定编制，本年度报告中所列数据的统计期限自2023年1月1日至2023年12月31日止。</w:t>
      </w:r>
    </w:p>
    <w:p>
      <w:pPr>
        <w:pStyle w:val="4"/>
        <w:widowControl/>
        <w:adjustRightInd w:val="0"/>
        <w:snapToGrid w:val="0"/>
        <w:spacing w:line="600" w:lineRule="exact"/>
        <w:ind w:firstLine="640" w:firstLineChars="200"/>
        <w:jc w:val="both"/>
        <w:rPr>
          <w:rFonts w:hint="eastAsia" w:ascii="黑体" w:hAnsi="黑体" w:eastAsia="黑体" w:cs="黑体"/>
          <w:sz w:val="32"/>
          <w:szCs w:val="32"/>
        </w:rPr>
      </w:pPr>
      <w:r>
        <w:rPr>
          <w:rFonts w:hint="eastAsia" w:ascii="黑体" w:hAnsi="黑体" w:eastAsia="黑体" w:cs="黑体"/>
          <w:color w:val="333333"/>
          <w:sz w:val="32"/>
          <w:szCs w:val="32"/>
        </w:rPr>
        <w:t>一、总体情况</w:t>
      </w:r>
    </w:p>
    <w:p>
      <w:pPr>
        <w:widowControl/>
        <w:shd w:val="clear" w:color="auto" w:fill="FFFFFF"/>
        <w:spacing w:line="600" w:lineRule="exact"/>
        <w:ind w:firstLine="640" w:firstLineChars="200"/>
        <w:rPr>
          <w:rFonts w:ascii="黑体" w:hAnsi="黑体" w:eastAsia="黑体"/>
          <w:color w:val="424242"/>
          <w:kern w:val="0"/>
          <w:sz w:val="32"/>
          <w:szCs w:val="32"/>
        </w:rPr>
      </w:pPr>
      <w:r>
        <w:rPr>
          <w:rFonts w:hint="eastAsia" w:ascii="仿宋" w:hAnsi="仿宋" w:eastAsia="仿宋"/>
          <w:color w:val="424242"/>
          <w:kern w:val="0"/>
          <w:sz w:val="32"/>
          <w:szCs w:val="32"/>
        </w:rPr>
        <w:t>2023年</w:t>
      </w:r>
      <w:r>
        <w:rPr>
          <w:rFonts w:hint="eastAsia" w:ascii="仿宋" w:hAnsi="仿宋" w:eastAsia="仿宋"/>
          <w:color w:val="424242"/>
          <w:sz w:val="32"/>
          <w:szCs w:val="32"/>
          <w:shd w:val="clear" w:color="auto" w:fill="FFFFFF"/>
        </w:rPr>
        <w:t>按照“谁起草、谁解读、谁负责”原则，及时发布</w:t>
      </w:r>
      <w:r>
        <w:rPr>
          <w:rFonts w:hint="eastAsia" w:ascii="仿宋" w:hAnsi="仿宋" w:eastAsia="仿宋"/>
          <w:color w:val="666666"/>
          <w:sz w:val="32"/>
          <w:szCs w:val="32"/>
        </w:rPr>
        <w:t>部门预算1条，部门公告6条，</w:t>
      </w:r>
      <w:r>
        <w:rPr>
          <w:rFonts w:hint="eastAsia" w:ascii="仿宋" w:hAnsi="仿宋" w:eastAsia="仿宋"/>
          <w:color w:val="424242"/>
          <w:sz w:val="32"/>
          <w:szCs w:val="32"/>
          <w:shd w:val="clear" w:color="auto" w:fill="FFFFFF"/>
        </w:rPr>
        <w:t>政策解读文件1篇</w:t>
      </w:r>
      <w:r>
        <w:rPr>
          <w:rFonts w:hint="eastAsia" w:ascii="仿宋" w:hAnsi="仿宋" w:eastAsia="仿宋"/>
          <w:color w:val="424242"/>
          <w:kern w:val="0"/>
          <w:sz w:val="32"/>
          <w:szCs w:val="32"/>
        </w:rPr>
        <w:t>，</w:t>
      </w:r>
      <w:r>
        <w:rPr>
          <w:rFonts w:hint="eastAsia" w:ascii="仿宋" w:hAnsi="仿宋" w:eastAsia="仿宋"/>
          <w:color w:val="5D5F60"/>
          <w:kern w:val="0"/>
          <w:sz w:val="32"/>
          <w:szCs w:val="32"/>
        </w:rPr>
        <w:t>全年及时处理信访平台群众诉求</w:t>
      </w:r>
      <w:r>
        <w:rPr>
          <w:rFonts w:hint="eastAsia" w:ascii="仿宋" w:hAnsi="仿宋" w:eastAsia="仿宋"/>
          <w:kern w:val="0"/>
          <w:sz w:val="32"/>
          <w:szCs w:val="32"/>
        </w:rPr>
        <w:t>5</w:t>
      </w:r>
      <w:r>
        <w:rPr>
          <w:rFonts w:hint="eastAsia" w:ascii="仿宋" w:hAnsi="仿宋" w:eastAsia="仿宋"/>
          <w:color w:val="5D5F60"/>
          <w:kern w:val="0"/>
          <w:sz w:val="32"/>
          <w:szCs w:val="32"/>
        </w:rPr>
        <w:t>件，12345政务便民服务热线</w:t>
      </w:r>
      <w:r>
        <w:rPr>
          <w:rFonts w:hint="eastAsia" w:ascii="仿宋" w:hAnsi="仿宋" w:eastAsia="仿宋"/>
          <w:kern w:val="0"/>
          <w:sz w:val="32"/>
          <w:szCs w:val="32"/>
        </w:rPr>
        <w:t>203</w:t>
      </w:r>
      <w:r>
        <w:rPr>
          <w:rFonts w:hint="eastAsia" w:ascii="仿宋" w:hAnsi="仿宋" w:eastAsia="仿宋"/>
          <w:color w:val="5D5F60"/>
          <w:kern w:val="0"/>
          <w:sz w:val="32"/>
          <w:szCs w:val="32"/>
        </w:rPr>
        <w:t>件，</w:t>
      </w:r>
      <w:r>
        <w:rPr>
          <w:rFonts w:hint="eastAsia" w:ascii="仿宋" w:hAnsi="仿宋" w:eastAsia="仿宋" w:cs="Arial"/>
          <w:color w:val="333333"/>
          <w:sz w:val="32"/>
          <w:szCs w:val="32"/>
          <w:shd w:val="clear" w:color="auto" w:fill="FFFFFF"/>
        </w:rPr>
        <w:t>13710督办平台事项</w:t>
      </w:r>
      <w:r>
        <w:rPr>
          <w:rFonts w:hint="eastAsia" w:ascii="仿宋" w:hAnsi="仿宋" w:eastAsia="仿宋" w:cs="Arial"/>
          <w:sz w:val="32"/>
          <w:szCs w:val="32"/>
          <w:shd w:val="clear" w:color="auto" w:fill="FFFFFF"/>
        </w:rPr>
        <w:t>10</w:t>
      </w:r>
      <w:r>
        <w:rPr>
          <w:rFonts w:hint="eastAsia" w:ascii="仿宋" w:hAnsi="仿宋" w:eastAsia="仿宋" w:cs="Arial"/>
          <w:color w:val="333333"/>
          <w:sz w:val="32"/>
          <w:szCs w:val="32"/>
          <w:shd w:val="clear" w:color="auto" w:fill="FFFFFF"/>
        </w:rPr>
        <w:t>项，</w:t>
      </w:r>
      <w:r>
        <w:rPr>
          <w:rFonts w:hint="eastAsia" w:ascii="仿宋" w:hAnsi="仿宋" w:eastAsia="仿宋"/>
          <w:color w:val="5D5F60"/>
          <w:kern w:val="0"/>
          <w:sz w:val="32"/>
          <w:szCs w:val="32"/>
        </w:rPr>
        <w:t>做到有访必回，及时将矛盾纠纷化解在萌芽阶段，维护了行业大局稳定。</w:t>
      </w:r>
    </w:p>
    <w:p>
      <w:pPr>
        <w:pStyle w:val="4"/>
        <w:widowControl/>
        <w:adjustRightInd w:val="0"/>
        <w:snapToGrid w:val="0"/>
        <w:spacing w:line="360" w:lineRule="auto"/>
        <w:ind w:left="420"/>
        <w:jc w:val="both"/>
        <w:rPr>
          <w:rFonts w:ascii="黑体" w:hAnsi="黑体" w:eastAsia="黑体" w:cs="黑体"/>
          <w:color w:val="333333"/>
          <w:sz w:val="32"/>
          <w:szCs w:val="32"/>
        </w:rPr>
      </w:pPr>
      <w:r>
        <w:rPr>
          <w:rFonts w:hint="eastAsia" w:ascii="黑体" w:hAnsi="黑体" w:eastAsia="黑体" w:cs="黑体"/>
          <w:color w:val="333333"/>
          <w:sz w:val="32"/>
          <w:szCs w:val="32"/>
        </w:rPr>
        <w:t>二、主动公开政府信息情况</w:t>
      </w:r>
    </w:p>
    <w:tbl>
      <w:tblPr>
        <w:tblStyle w:val="5"/>
        <w:tblW w:w="8759" w:type="dxa"/>
        <w:jc w:val="center"/>
        <w:tblLayout w:type="fixed"/>
        <w:tblCellMar>
          <w:top w:w="0" w:type="dxa"/>
          <w:left w:w="0" w:type="dxa"/>
          <w:bottom w:w="0" w:type="dxa"/>
          <w:right w:w="0" w:type="dxa"/>
        </w:tblCellMar>
      </w:tblPr>
      <w:tblGrid>
        <w:gridCol w:w="1996"/>
        <w:gridCol w:w="2435"/>
        <w:gridCol w:w="2435"/>
        <w:gridCol w:w="1893"/>
      </w:tblGrid>
      <w:tr>
        <w:tblPrEx>
          <w:tblCellMar>
            <w:top w:w="0" w:type="dxa"/>
            <w:left w:w="0" w:type="dxa"/>
            <w:bottom w:w="0" w:type="dxa"/>
            <w:right w:w="0" w:type="dxa"/>
          </w:tblCellMar>
        </w:tblPrEx>
        <w:trPr>
          <w:trHeight w:val="340" w:hRule="atLeast"/>
          <w:jc w:val="center"/>
        </w:trPr>
        <w:tc>
          <w:tcPr>
            <w:tcW w:w="875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24" w:lineRule="atLeast"/>
              <w:jc w:val="center"/>
            </w:pPr>
            <w:r>
              <w:rPr>
                <w:rFonts w:hint="eastAsia" w:ascii="宋体" w:hAnsi="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199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24" w:lineRule="atLeast"/>
              <w:jc w:val="center"/>
            </w:pPr>
            <w:r>
              <w:rPr>
                <w:rFonts w:hint="eastAsia" w:ascii="宋体" w:hAnsi="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24" w:lineRule="atLeast"/>
              <w:jc w:val="center"/>
            </w:pPr>
            <w:r>
              <w:rPr>
                <w:rFonts w:hint="eastAsia" w:ascii="宋体" w:hAnsi="宋体"/>
                <w:color w:val="000000"/>
                <w:kern w:val="0"/>
                <w:sz w:val="20"/>
                <w:szCs w:val="20"/>
              </w:rPr>
              <w:t>本年</w:t>
            </w:r>
            <w:r>
              <w:rPr>
                <w:rFonts w:hint="eastAsia" w:ascii="宋体" w:hAnsi="宋体"/>
                <w:color w:val="333333"/>
                <w:kern w:val="0"/>
                <w:sz w:val="20"/>
                <w:szCs w:val="20"/>
              </w:rPr>
              <w:t>制发件数</w:t>
            </w:r>
          </w:p>
        </w:tc>
        <w:tc>
          <w:tcPr>
            <w:tcW w:w="2435" w:type="dxa"/>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widowControl/>
              <w:spacing w:line="24" w:lineRule="atLeast"/>
              <w:jc w:val="center"/>
            </w:pPr>
            <w:r>
              <w:rPr>
                <w:rFonts w:hint="eastAsia" w:ascii="宋体" w:hAnsi="宋体"/>
                <w:color w:val="000000"/>
                <w:kern w:val="0"/>
                <w:sz w:val="20"/>
                <w:szCs w:val="20"/>
              </w:rPr>
              <w:t>本年废止件数</w:t>
            </w:r>
          </w:p>
        </w:tc>
        <w:tc>
          <w:tcPr>
            <w:tcW w:w="189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24" w:lineRule="atLeast"/>
              <w:jc w:val="center"/>
            </w:pPr>
            <w:r>
              <w:rPr>
                <w:rFonts w:hint="eastAsia" w:ascii="宋体" w:hAnsi="宋体"/>
                <w:color w:val="000000"/>
                <w:kern w:val="0"/>
                <w:sz w:val="20"/>
                <w:szCs w:val="20"/>
              </w:rPr>
              <w:t>现行有效件</w:t>
            </w:r>
            <w:r>
              <w:rPr>
                <w:rFonts w:hint="eastAsia" w:ascii="宋体" w:hAnsi="宋体"/>
                <w:color w:val="333333"/>
                <w:kern w:val="0"/>
                <w:sz w:val="20"/>
                <w:szCs w:val="20"/>
              </w:rPr>
              <w:t>数</w:t>
            </w:r>
          </w:p>
        </w:tc>
      </w:tr>
      <w:tr>
        <w:tblPrEx>
          <w:tblCellMar>
            <w:top w:w="0" w:type="dxa"/>
            <w:left w:w="0" w:type="dxa"/>
            <w:bottom w:w="0" w:type="dxa"/>
            <w:right w:w="0" w:type="dxa"/>
          </w:tblCellMar>
        </w:tblPrEx>
        <w:trPr>
          <w:trHeight w:val="340" w:hRule="atLeast"/>
          <w:jc w:val="center"/>
        </w:trPr>
        <w:tc>
          <w:tcPr>
            <w:tcW w:w="199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24" w:lineRule="atLeast"/>
              <w:jc w:val="left"/>
            </w:pPr>
            <w:r>
              <w:rPr>
                <w:rFonts w:hint="eastAsia" w:ascii="宋体" w:hAnsi="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24" w:lineRule="atLeast"/>
              <w:jc w:val="left"/>
            </w:pPr>
            <w:r>
              <w:rPr>
                <w:rFonts w:hint="eastAsia" w:ascii="宋体" w:hAnsi="宋体"/>
                <w:color w:val="000000"/>
                <w:kern w:val="0"/>
                <w:sz w:val="20"/>
                <w:szCs w:val="20"/>
              </w:rPr>
              <w:t>　　0</w:t>
            </w:r>
          </w:p>
        </w:tc>
        <w:tc>
          <w:tcPr>
            <w:tcW w:w="2435"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spacing w:line="24" w:lineRule="atLeast"/>
              <w:jc w:val="left"/>
            </w:pPr>
            <w:r>
              <w:rPr>
                <w:rFonts w:hint="eastAsia" w:ascii="宋体" w:hAnsi="宋体"/>
                <w:color w:val="000000"/>
                <w:kern w:val="0"/>
                <w:sz w:val="20"/>
                <w:szCs w:val="20"/>
              </w:rPr>
              <w:t> 　0</w:t>
            </w:r>
          </w:p>
        </w:tc>
        <w:tc>
          <w:tcPr>
            <w:tcW w:w="18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24" w:lineRule="atLeast"/>
              <w:jc w:val="left"/>
            </w:pPr>
            <w:r>
              <w:rPr>
                <w:rFonts w:cs="Calibri"/>
                <w:color w:val="333333"/>
                <w:szCs w:val="21"/>
              </w:rPr>
              <w:t> </w:t>
            </w:r>
            <w:r>
              <w:rPr>
                <w:rFonts w:hint="eastAsia" w:cs="Calibri"/>
                <w:color w:val="333333"/>
                <w:szCs w:val="21"/>
              </w:rPr>
              <w:t>0</w:t>
            </w:r>
          </w:p>
        </w:tc>
      </w:tr>
      <w:tr>
        <w:tblPrEx>
          <w:tblCellMar>
            <w:top w:w="0" w:type="dxa"/>
            <w:left w:w="0" w:type="dxa"/>
            <w:bottom w:w="0" w:type="dxa"/>
            <w:right w:w="0" w:type="dxa"/>
          </w:tblCellMar>
        </w:tblPrEx>
        <w:trPr>
          <w:trHeight w:val="340" w:hRule="atLeast"/>
          <w:jc w:val="center"/>
        </w:trPr>
        <w:tc>
          <w:tcPr>
            <w:tcW w:w="199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24" w:lineRule="atLeast"/>
              <w:jc w:val="left"/>
            </w:pPr>
            <w:r>
              <w:rPr>
                <w:rFonts w:hint="eastAsia" w:ascii="宋体" w:hAnsi="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24" w:lineRule="atLeast"/>
              <w:jc w:val="left"/>
            </w:pPr>
            <w:r>
              <w:rPr>
                <w:rFonts w:hint="eastAsia" w:ascii="宋体" w:hAnsi="宋体"/>
                <w:color w:val="000000"/>
                <w:kern w:val="0"/>
                <w:sz w:val="20"/>
                <w:szCs w:val="20"/>
              </w:rPr>
              <w:t>　　0</w:t>
            </w:r>
          </w:p>
        </w:tc>
        <w:tc>
          <w:tcPr>
            <w:tcW w:w="2435"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spacing w:line="24" w:lineRule="atLeast"/>
              <w:jc w:val="left"/>
            </w:pPr>
            <w:r>
              <w:rPr>
                <w:rFonts w:hint="eastAsia" w:ascii="宋体" w:hAnsi="宋体"/>
                <w:color w:val="000000"/>
                <w:kern w:val="0"/>
                <w:sz w:val="20"/>
                <w:szCs w:val="20"/>
              </w:rPr>
              <w:t> 　0</w:t>
            </w:r>
          </w:p>
        </w:tc>
        <w:tc>
          <w:tcPr>
            <w:tcW w:w="18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24" w:lineRule="atLeast"/>
              <w:jc w:val="left"/>
            </w:pPr>
            <w:r>
              <w:rPr>
                <w:rFonts w:cs="Calibri"/>
                <w:color w:val="333333"/>
                <w:szCs w:val="21"/>
              </w:rPr>
              <w:t> </w:t>
            </w:r>
            <w:r>
              <w:rPr>
                <w:rFonts w:hint="eastAsia" w:cs="Calibri"/>
                <w:color w:val="333333"/>
                <w:szCs w:val="21"/>
              </w:rPr>
              <w:t>0</w:t>
            </w:r>
          </w:p>
        </w:tc>
      </w:tr>
      <w:tr>
        <w:tblPrEx>
          <w:tblCellMar>
            <w:top w:w="0" w:type="dxa"/>
            <w:left w:w="0" w:type="dxa"/>
            <w:bottom w:w="0" w:type="dxa"/>
            <w:right w:w="0" w:type="dxa"/>
          </w:tblCellMar>
        </w:tblPrEx>
        <w:trPr>
          <w:trHeight w:val="340" w:hRule="atLeast"/>
          <w:jc w:val="center"/>
        </w:trPr>
        <w:tc>
          <w:tcPr>
            <w:tcW w:w="875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24" w:lineRule="atLeast"/>
              <w:jc w:val="center"/>
            </w:pPr>
            <w:r>
              <w:rPr>
                <w:rFonts w:hint="eastAsia" w:ascii="宋体" w:hAnsi="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1996" w:type="dxa"/>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widowControl/>
              <w:spacing w:line="24" w:lineRule="atLeast"/>
              <w:jc w:val="center"/>
            </w:pPr>
            <w:r>
              <w:rPr>
                <w:rFonts w:hint="eastAsia" w:ascii="宋体" w:hAnsi="宋体"/>
                <w:color w:val="000000"/>
                <w:kern w:val="0"/>
                <w:sz w:val="20"/>
                <w:szCs w:val="20"/>
              </w:rPr>
              <w:t>信息内容</w:t>
            </w:r>
          </w:p>
        </w:tc>
        <w:tc>
          <w:tcPr>
            <w:tcW w:w="6763"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24" w:lineRule="atLeast"/>
              <w:jc w:val="center"/>
            </w:pPr>
            <w:r>
              <w:rPr>
                <w:rFonts w:hint="eastAsia" w:ascii="宋体" w:hAnsi="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1996" w:type="dxa"/>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widowControl/>
              <w:spacing w:line="24" w:lineRule="atLeast"/>
              <w:jc w:val="left"/>
            </w:pPr>
            <w:r>
              <w:rPr>
                <w:rFonts w:hint="eastAsia" w:ascii="宋体" w:hAnsi="宋体"/>
                <w:color w:val="000000"/>
                <w:kern w:val="0"/>
                <w:sz w:val="20"/>
                <w:szCs w:val="20"/>
              </w:rPr>
              <w:t>行政许可</w:t>
            </w:r>
          </w:p>
        </w:tc>
        <w:tc>
          <w:tcPr>
            <w:tcW w:w="6763"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24" w:lineRule="atLeast"/>
              <w:jc w:val="left"/>
            </w:pPr>
            <w:r>
              <w:rPr>
                <w:rFonts w:cs="Calibri"/>
                <w:color w:val="333333"/>
                <w:szCs w:val="21"/>
              </w:rPr>
              <w:t> </w:t>
            </w:r>
            <w:r>
              <w:rPr>
                <w:rFonts w:hint="eastAsia" w:cs="Calibri"/>
                <w:color w:val="333333"/>
                <w:szCs w:val="21"/>
              </w:rPr>
              <w:t>0</w:t>
            </w:r>
          </w:p>
        </w:tc>
      </w:tr>
      <w:tr>
        <w:tblPrEx>
          <w:tblCellMar>
            <w:top w:w="0" w:type="dxa"/>
            <w:left w:w="0" w:type="dxa"/>
            <w:bottom w:w="0" w:type="dxa"/>
            <w:right w:w="0" w:type="dxa"/>
          </w:tblCellMar>
        </w:tblPrEx>
        <w:trPr>
          <w:trHeight w:val="340" w:hRule="atLeast"/>
          <w:jc w:val="center"/>
        </w:trPr>
        <w:tc>
          <w:tcPr>
            <w:tcW w:w="875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24" w:lineRule="atLeast"/>
              <w:jc w:val="center"/>
            </w:pPr>
            <w:r>
              <w:rPr>
                <w:rFonts w:hint="eastAsia" w:ascii="宋体" w:hAnsi="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199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24" w:lineRule="atLeast"/>
              <w:jc w:val="center"/>
            </w:pPr>
            <w:r>
              <w:rPr>
                <w:rFonts w:hint="eastAsia" w:ascii="宋体" w:hAnsi="宋体"/>
                <w:color w:val="000000"/>
                <w:kern w:val="0"/>
                <w:sz w:val="20"/>
                <w:szCs w:val="20"/>
              </w:rPr>
              <w:t>信息内容</w:t>
            </w:r>
          </w:p>
        </w:tc>
        <w:tc>
          <w:tcPr>
            <w:tcW w:w="6763"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24" w:lineRule="atLeast"/>
              <w:jc w:val="center"/>
            </w:pPr>
            <w:r>
              <w:rPr>
                <w:rFonts w:hint="eastAsia" w:ascii="宋体" w:hAnsi="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199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24" w:lineRule="atLeast"/>
              <w:jc w:val="left"/>
            </w:pPr>
            <w:r>
              <w:rPr>
                <w:rFonts w:hint="eastAsia" w:ascii="宋体" w:hAnsi="宋体"/>
                <w:color w:val="000000"/>
                <w:kern w:val="0"/>
                <w:sz w:val="20"/>
                <w:szCs w:val="20"/>
              </w:rPr>
              <w:t>行政处罚</w:t>
            </w:r>
          </w:p>
        </w:tc>
        <w:tc>
          <w:tcPr>
            <w:tcW w:w="6763"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24" w:lineRule="atLeast"/>
              <w:jc w:val="left"/>
            </w:pPr>
            <w:r>
              <w:rPr>
                <w:rFonts w:hint="eastAsia" w:ascii="宋体" w:hAnsi="宋体"/>
                <w:color w:val="000000"/>
                <w:kern w:val="0"/>
                <w:sz w:val="20"/>
                <w:szCs w:val="20"/>
              </w:rPr>
              <w:t>　44</w:t>
            </w:r>
          </w:p>
        </w:tc>
      </w:tr>
      <w:tr>
        <w:tblPrEx>
          <w:tblCellMar>
            <w:top w:w="0" w:type="dxa"/>
            <w:left w:w="0" w:type="dxa"/>
            <w:bottom w:w="0" w:type="dxa"/>
            <w:right w:w="0" w:type="dxa"/>
          </w:tblCellMar>
        </w:tblPrEx>
        <w:trPr>
          <w:trHeight w:val="340" w:hRule="atLeast"/>
          <w:jc w:val="center"/>
        </w:trPr>
        <w:tc>
          <w:tcPr>
            <w:tcW w:w="199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24" w:lineRule="atLeast"/>
              <w:jc w:val="left"/>
            </w:pPr>
            <w:r>
              <w:rPr>
                <w:rFonts w:hint="eastAsia" w:ascii="宋体" w:hAnsi="宋体"/>
                <w:color w:val="000000"/>
                <w:kern w:val="0"/>
                <w:sz w:val="20"/>
                <w:szCs w:val="20"/>
              </w:rPr>
              <w:t>行政强制</w:t>
            </w:r>
          </w:p>
        </w:tc>
        <w:tc>
          <w:tcPr>
            <w:tcW w:w="6763"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24" w:lineRule="atLeast"/>
              <w:jc w:val="left"/>
            </w:pPr>
            <w:r>
              <w:rPr>
                <w:rFonts w:hint="eastAsia" w:ascii="宋体" w:hAnsi="宋体"/>
                <w:color w:val="000000"/>
                <w:kern w:val="0"/>
                <w:sz w:val="20"/>
                <w:szCs w:val="20"/>
              </w:rPr>
              <w:t>　0</w:t>
            </w:r>
          </w:p>
        </w:tc>
      </w:tr>
      <w:tr>
        <w:tblPrEx>
          <w:tblCellMar>
            <w:top w:w="0" w:type="dxa"/>
            <w:left w:w="0" w:type="dxa"/>
            <w:bottom w:w="0" w:type="dxa"/>
            <w:right w:w="0" w:type="dxa"/>
          </w:tblCellMar>
        </w:tblPrEx>
        <w:trPr>
          <w:trHeight w:val="340" w:hRule="atLeast"/>
          <w:jc w:val="center"/>
        </w:trPr>
        <w:tc>
          <w:tcPr>
            <w:tcW w:w="875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24" w:lineRule="atLeast"/>
              <w:jc w:val="center"/>
            </w:pPr>
            <w:r>
              <w:rPr>
                <w:rFonts w:hint="eastAsia" w:ascii="宋体" w:hAnsi="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199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24" w:lineRule="atLeast"/>
              <w:jc w:val="center"/>
            </w:pPr>
            <w:r>
              <w:rPr>
                <w:rFonts w:hint="eastAsia" w:ascii="宋体" w:hAnsi="宋体"/>
                <w:color w:val="000000"/>
                <w:kern w:val="0"/>
                <w:sz w:val="20"/>
                <w:szCs w:val="20"/>
              </w:rPr>
              <w:t>信息内容</w:t>
            </w:r>
          </w:p>
        </w:tc>
        <w:tc>
          <w:tcPr>
            <w:tcW w:w="6763"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spacing w:line="24" w:lineRule="atLeast"/>
              <w:jc w:val="center"/>
            </w:pPr>
            <w:r>
              <w:rPr>
                <w:rFonts w:hint="eastAsia" w:ascii="宋体" w:hAnsi="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199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24" w:lineRule="atLeast"/>
              <w:jc w:val="left"/>
            </w:pPr>
            <w:r>
              <w:rPr>
                <w:rFonts w:hint="eastAsia" w:ascii="宋体" w:hAnsi="宋体"/>
                <w:color w:val="000000"/>
                <w:kern w:val="0"/>
                <w:sz w:val="20"/>
                <w:szCs w:val="20"/>
              </w:rPr>
              <w:t>行政事业性收费</w:t>
            </w:r>
          </w:p>
        </w:tc>
        <w:tc>
          <w:tcPr>
            <w:tcW w:w="6763"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left"/>
              <w:rPr>
                <w:rFonts w:ascii="宋体" w:hAnsi="宋体"/>
                <w:color w:val="333333"/>
                <w:sz w:val="16"/>
                <w:szCs w:val="16"/>
              </w:rPr>
            </w:pPr>
            <w:r>
              <w:rPr>
                <w:rFonts w:hint="eastAsia" w:ascii="宋体" w:hAnsi="宋体"/>
                <w:color w:val="333333"/>
                <w:sz w:val="16"/>
                <w:szCs w:val="16"/>
              </w:rPr>
              <w:t>0</w:t>
            </w:r>
          </w:p>
        </w:tc>
      </w:tr>
    </w:tbl>
    <w:p>
      <w:pPr>
        <w:pStyle w:val="4"/>
        <w:widowControl/>
        <w:spacing w:line="432" w:lineRule="auto"/>
        <w:ind w:firstLine="640" w:firstLineChars="200"/>
        <w:jc w:val="both"/>
        <w:rPr>
          <w:rFonts w:ascii="黑体" w:hAnsi="黑体" w:eastAsia="黑体" w:cs="黑体"/>
          <w:color w:val="333333"/>
          <w:sz w:val="32"/>
          <w:szCs w:val="32"/>
        </w:rPr>
      </w:pPr>
      <w:r>
        <w:rPr>
          <w:rFonts w:hint="eastAsia" w:ascii="黑体" w:hAnsi="黑体" w:eastAsia="黑体" w:cs="黑体"/>
          <w:color w:val="333333"/>
          <w:sz w:val="32"/>
          <w:szCs w:val="32"/>
        </w:rPr>
        <w:t>三、收到和处理政府信息公开申请情况</w:t>
      </w:r>
    </w:p>
    <w:tbl>
      <w:tblPr>
        <w:tblStyle w:val="5"/>
        <w:tblW w:w="869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
      <w:tblGrid>
        <w:gridCol w:w="551"/>
        <w:gridCol w:w="1463"/>
        <w:gridCol w:w="2720"/>
        <w:gridCol w:w="807"/>
        <w:gridCol w:w="549"/>
        <w:gridCol w:w="548"/>
        <w:gridCol w:w="621"/>
        <w:gridCol w:w="662"/>
        <w:gridCol w:w="420"/>
        <w:gridCol w:w="3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734" w:type="dxa"/>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widowControl/>
              <w:spacing w:line="24" w:lineRule="atLeast"/>
              <w:ind w:firstLine="400" w:firstLineChars="200"/>
              <w:jc w:val="left"/>
            </w:pPr>
            <w:r>
              <w:rPr>
                <w:rFonts w:hint="eastAsia" w:ascii="楷体" w:hAnsi="楷体" w:eastAsia="楷体" w:cs="楷体"/>
                <w:color w:val="333333"/>
                <w:kern w:val="0"/>
                <w:sz w:val="20"/>
                <w:szCs w:val="20"/>
              </w:rPr>
              <w:t>（本列数据的勾稽关系为：第一项加第二项之和，等于第三项加第四项之和）</w:t>
            </w:r>
          </w:p>
        </w:tc>
        <w:tc>
          <w:tcPr>
            <w:tcW w:w="3959" w:type="dxa"/>
            <w:gridSpan w:val="7"/>
            <w:tcBorders>
              <w:top w:val="single" w:color="auto" w:sz="8" w:space="0"/>
              <w:left w:val="nil"/>
              <w:bottom w:val="single" w:color="auto" w:sz="8" w:space="0"/>
              <w:right w:val="single" w:color="auto" w:sz="8" w:space="0"/>
            </w:tcBorders>
            <w:shd w:val="clear" w:color="auto" w:fill="auto"/>
            <w:vAlign w:val="center"/>
          </w:tcPr>
          <w:p>
            <w:pPr>
              <w:widowControl/>
              <w:spacing w:line="24" w:lineRule="atLeast"/>
              <w:jc w:val="center"/>
            </w:pPr>
            <w:r>
              <w:rPr>
                <w:rFonts w:hint="eastAsia" w:ascii="宋体" w:hAnsi="宋体"/>
                <w:color w:val="333333"/>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734" w:type="dxa"/>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ascii="宋体" w:hAnsi="宋体"/>
                <w:color w:val="333333"/>
                <w:sz w:val="16"/>
                <w:szCs w:val="16"/>
              </w:rPr>
            </w:pPr>
          </w:p>
        </w:tc>
        <w:tc>
          <w:tcPr>
            <w:tcW w:w="807" w:type="dxa"/>
            <w:vMerge w:val="restart"/>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ascii="宋体" w:hAnsi="宋体"/>
                <w:color w:val="333333"/>
                <w:kern w:val="0"/>
                <w:sz w:val="20"/>
                <w:szCs w:val="20"/>
              </w:rPr>
              <w:t>自然人</w:t>
            </w:r>
          </w:p>
        </w:tc>
        <w:tc>
          <w:tcPr>
            <w:tcW w:w="2800" w:type="dxa"/>
            <w:gridSpan w:val="5"/>
            <w:tcBorders>
              <w:top w:val="single" w:color="auto" w:sz="8" w:space="0"/>
              <w:left w:val="nil"/>
              <w:bottom w:val="single" w:color="auto" w:sz="8" w:space="0"/>
              <w:right w:val="single" w:color="auto" w:sz="8" w:space="0"/>
            </w:tcBorders>
            <w:shd w:val="clear" w:color="auto" w:fill="auto"/>
            <w:vAlign w:val="center"/>
          </w:tcPr>
          <w:p>
            <w:pPr>
              <w:widowControl/>
              <w:spacing w:line="24" w:lineRule="atLeast"/>
              <w:jc w:val="center"/>
            </w:pPr>
            <w:r>
              <w:rPr>
                <w:rFonts w:hint="eastAsia" w:ascii="宋体" w:hAnsi="宋体"/>
                <w:color w:val="333333"/>
                <w:kern w:val="0"/>
                <w:sz w:val="20"/>
                <w:szCs w:val="20"/>
              </w:rPr>
              <w:t>法人或其他组织</w:t>
            </w:r>
          </w:p>
        </w:tc>
        <w:tc>
          <w:tcPr>
            <w:tcW w:w="352" w:type="dxa"/>
            <w:vMerge w:val="restart"/>
            <w:tcBorders>
              <w:top w:val="single" w:color="auto" w:sz="8" w:space="0"/>
              <w:left w:val="nil"/>
              <w:bottom w:val="outset" w:color="auto" w:sz="6" w:space="0"/>
              <w:right w:val="single" w:color="auto" w:sz="8" w:space="0"/>
            </w:tcBorders>
            <w:shd w:val="clear" w:color="auto" w:fill="auto"/>
            <w:vAlign w:val="center"/>
          </w:tcPr>
          <w:p>
            <w:pPr>
              <w:widowControl/>
              <w:spacing w:line="24" w:lineRule="atLeast"/>
              <w:jc w:val="center"/>
            </w:pPr>
            <w:r>
              <w:rPr>
                <w:rFonts w:hint="eastAsia" w:ascii="宋体" w:hAnsi="宋体"/>
                <w:color w:val="333333"/>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734" w:type="dxa"/>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ascii="宋体" w:hAnsi="宋体"/>
                <w:color w:val="333333"/>
                <w:sz w:val="16"/>
                <w:szCs w:val="16"/>
              </w:rPr>
            </w:pPr>
          </w:p>
        </w:tc>
        <w:tc>
          <w:tcPr>
            <w:tcW w:w="807" w:type="dxa"/>
            <w:vMerge w:val="continue"/>
            <w:tcBorders>
              <w:top w:val="nil"/>
              <w:left w:val="nil"/>
              <w:bottom w:val="single" w:color="auto" w:sz="8" w:space="0"/>
              <w:right w:val="single" w:color="auto" w:sz="8" w:space="0"/>
            </w:tcBorders>
            <w:shd w:val="clear" w:color="auto" w:fill="auto"/>
            <w:vAlign w:val="center"/>
          </w:tcPr>
          <w:p>
            <w:pPr>
              <w:jc w:val="left"/>
              <w:rPr>
                <w:rFonts w:ascii="宋体" w:hAnsi="宋体"/>
                <w:color w:val="333333"/>
                <w:sz w:val="16"/>
                <w:szCs w:val="16"/>
              </w:rPr>
            </w:pPr>
          </w:p>
        </w:tc>
        <w:tc>
          <w:tcPr>
            <w:tcW w:w="549"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ascii="宋体" w:hAnsi="宋体"/>
                <w:color w:val="333333"/>
                <w:kern w:val="0"/>
                <w:sz w:val="20"/>
                <w:szCs w:val="20"/>
              </w:rPr>
              <w:t>商业</w:t>
            </w:r>
          </w:p>
          <w:p>
            <w:pPr>
              <w:widowControl/>
              <w:spacing w:line="24" w:lineRule="atLeast"/>
              <w:jc w:val="center"/>
            </w:pPr>
            <w:r>
              <w:rPr>
                <w:rFonts w:hint="eastAsia" w:ascii="宋体" w:hAnsi="宋体"/>
                <w:color w:val="333333"/>
                <w:kern w:val="0"/>
                <w:sz w:val="20"/>
                <w:szCs w:val="20"/>
              </w:rPr>
              <w:t>企业</w:t>
            </w:r>
          </w:p>
        </w:tc>
        <w:tc>
          <w:tcPr>
            <w:tcW w:w="548"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ascii="宋体" w:hAnsi="宋体"/>
                <w:color w:val="333333"/>
                <w:kern w:val="0"/>
                <w:sz w:val="20"/>
                <w:szCs w:val="20"/>
              </w:rPr>
              <w:t>科研</w:t>
            </w:r>
          </w:p>
          <w:p>
            <w:pPr>
              <w:widowControl/>
              <w:spacing w:line="24" w:lineRule="atLeast"/>
              <w:jc w:val="center"/>
            </w:pPr>
            <w:r>
              <w:rPr>
                <w:rFonts w:hint="eastAsia" w:ascii="宋体" w:hAnsi="宋体"/>
                <w:color w:val="333333"/>
                <w:kern w:val="0"/>
                <w:sz w:val="20"/>
                <w:szCs w:val="20"/>
              </w:rPr>
              <w:t>机构</w:t>
            </w:r>
          </w:p>
        </w:tc>
        <w:tc>
          <w:tcPr>
            <w:tcW w:w="621" w:type="dxa"/>
            <w:tcBorders>
              <w:top w:val="single" w:color="auto" w:sz="8" w:space="0"/>
              <w:left w:val="nil"/>
              <w:bottom w:val="single" w:color="auto" w:sz="8" w:space="0"/>
              <w:right w:val="single" w:color="auto" w:sz="8" w:space="0"/>
            </w:tcBorders>
            <w:shd w:val="clear" w:color="auto" w:fill="auto"/>
            <w:vAlign w:val="center"/>
          </w:tcPr>
          <w:p>
            <w:pPr>
              <w:widowControl/>
              <w:spacing w:line="24" w:lineRule="atLeast"/>
              <w:jc w:val="center"/>
            </w:pPr>
            <w:r>
              <w:rPr>
                <w:rFonts w:hint="eastAsia" w:ascii="宋体" w:hAnsi="宋体"/>
                <w:color w:val="333333"/>
                <w:kern w:val="0"/>
                <w:sz w:val="20"/>
                <w:szCs w:val="20"/>
              </w:rPr>
              <w:t>社会公益组织</w:t>
            </w:r>
          </w:p>
        </w:tc>
        <w:tc>
          <w:tcPr>
            <w:tcW w:w="662" w:type="dxa"/>
            <w:tcBorders>
              <w:top w:val="single" w:color="auto" w:sz="8" w:space="0"/>
              <w:left w:val="nil"/>
              <w:bottom w:val="single" w:color="auto" w:sz="8" w:space="0"/>
              <w:right w:val="single" w:color="auto" w:sz="8" w:space="0"/>
            </w:tcBorders>
            <w:shd w:val="clear" w:color="auto" w:fill="auto"/>
            <w:vAlign w:val="center"/>
          </w:tcPr>
          <w:p>
            <w:pPr>
              <w:widowControl/>
              <w:spacing w:line="24" w:lineRule="atLeast"/>
              <w:jc w:val="center"/>
            </w:pPr>
            <w:r>
              <w:rPr>
                <w:rFonts w:hint="eastAsia" w:ascii="宋体" w:hAnsi="宋体"/>
                <w:color w:val="333333"/>
                <w:kern w:val="0"/>
                <w:sz w:val="20"/>
                <w:szCs w:val="20"/>
              </w:rPr>
              <w:t>法律服务机构</w:t>
            </w:r>
          </w:p>
        </w:tc>
        <w:tc>
          <w:tcPr>
            <w:tcW w:w="420" w:type="dxa"/>
            <w:tcBorders>
              <w:top w:val="single" w:color="auto" w:sz="8" w:space="0"/>
              <w:left w:val="nil"/>
              <w:bottom w:val="single" w:color="auto" w:sz="8" w:space="0"/>
              <w:right w:val="single" w:color="auto" w:sz="8" w:space="0"/>
            </w:tcBorders>
            <w:shd w:val="clear" w:color="auto" w:fill="auto"/>
            <w:vAlign w:val="center"/>
          </w:tcPr>
          <w:p>
            <w:pPr>
              <w:widowControl/>
              <w:spacing w:line="24" w:lineRule="atLeast"/>
              <w:jc w:val="center"/>
            </w:pPr>
            <w:r>
              <w:rPr>
                <w:rFonts w:hint="eastAsia" w:ascii="宋体" w:hAnsi="宋体"/>
                <w:color w:val="333333"/>
                <w:kern w:val="0"/>
                <w:sz w:val="20"/>
                <w:szCs w:val="20"/>
              </w:rPr>
              <w:t>其他</w:t>
            </w:r>
          </w:p>
        </w:tc>
        <w:tc>
          <w:tcPr>
            <w:tcW w:w="352" w:type="dxa"/>
            <w:vMerge w:val="continue"/>
            <w:tcBorders>
              <w:top w:val="single" w:color="auto" w:sz="8" w:space="0"/>
              <w:left w:val="nil"/>
              <w:bottom w:val="outset" w:color="auto" w:sz="6" w:space="0"/>
              <w:right w:val="single" w:color="auto" w:sz="8" w:space="0"/>
            </w:tcBorders>
            <w:shd w:val="clear" w:color="auto" w:fill="auto"/>
            <w:vAlign w:val="center"/>
          </w:tcPr>
          <w:p>
            <w:pPr>
              <w:jc w:val="left"/>
              <w:rPr>
                <w:rFonts w:ascii="宋体" w:hAnsi="宋体"/>
                <w:color w:val="333333"/>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734" w:type="dxa"/>
            <w:gridSpan w:val="3"/>
            <w:tcBorders>
              <w:top w:val="nil"/>
              <w:left w:val="single" w:color="auto" w:sz="8" w:space="0"/>
              <w:bottom w:val="single" w:color="auto" w:sz="8" w:space="0"/>
              <w:right w:val="single" w:color="auto" w:sz="8" w:space="0"/>
            </w:tcBorders>
            <w:shd w:val="clear" w:color="auto" w:fill="auto"/>
            <w:vAlign w:val="center"/>
          </w:tcPr>
          <w:p>
            <w:pPr>
              <w:widowControl/>
              <w:spacing w:line="24" w:lineRule="atLeast"/>
              <w:jc w:val="left"/>
            </w:pPr>
            <w:r>
              <w:rPr>
                <w:rFonts w:hint="eastAsia" w:ascii="宋体" w:hAnsi="宋体"/>
                <w:color w:val="333333"/>
                <w:kern w:val="0"/>
                <w:sz w:val="20"/>
                <w:szCs w:val="20"/>
              </w:rPr>
              <w:t>一、本年新收政府信息公开申请数量</w:t>
            </w:r>
          </w:p>
        </w:tc>
        <w:tc>
          <w:tcPr>
            <w:tcW w:w="807"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9"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8"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21"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cs="Calibri"/>
                <w:color w:val="333333"/>
                <w:kern w:val="0"/>
                <w:sz w:val="20"/>
                <w:szCs w:val="20"/>
              </w:rPr>
              <w:t>0</w:t>
            </w:r>
            <w:r>
              <w:rPr>
                <w:rFonts w:cs="Calibri"/>
                <w:color w:val="333333"/>
                <w:kern w:val="0"/>
                <w:sz w:val="20"/>
                <w:szCs w:val="20"/>
              </w:rPr>
              <w:t> </w:t>
            </w:r>
          </w:p>
        </w:tc>
        <w:tc>
          <w:tcPr>
            <w:tcW w:w="662"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420"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35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734" w:type="dxa"/>
            <w:gridSpan w:val="3"/>
            <w:tcBorders>
              <w:top w:val="nil"/>
              <w:left w:val="single" w:color="auto" w:sz="8" w:space="0"/>
              <w:bottom w:val="single" w:color="auto" w:sz="8" w:space="0"/>
              <w:right w:val="single" w:color="auto" w:sz="8" w:space="0"/>
            </w:tcBorders>
            <w:shd w:val="clear" w:color="auto" w:fill="auto"/>
            <w:vAlign w:val="center"/>
          </w:tcPr>
          <w:p>
            <w:pPr>
              <w:widowControl/>
              <w:spacing w:line="24" w:lineRule="atLeast"/>
              <w:jc w:val="left"/>
            </w:pPr>
            <w:r>
              <w:rPr>
                <w:rFonts w:hint="eastAsia" w:ascii="宋体" w:hAnsi="宋体"/>
                <w:color w:val="333333"/>
                <w:kern w:val="0"/>
                <w:sz w:val="20"/>
                <w:szCs w:val="20"/>
              </w:rPr>
              <w:t>二、上年结转政府信息公开申请数量</w:t>
            </w:r>
          </w:p>
        </w:tc>
        <w:tc>
          <w:tcPr>
            <w:tcW w:w="807"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9"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8"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cs="Calibri"/>
                <w:color w:val="333333"/>
                <w:kern w:val="0"/>
                <w:sz w:val="20"/>
                <w:szCs w:val="20"/>
              </w:rPr>
              <w:t>0</w:t>
            </w:r>
            <w:r>
              <w:rPr>
                <w:rFonts w:cs="Calibri"/>
                <w:color w:val="333333"/>
                <w:kern w:val="0"/>
                <w:sz w:val="20"/>
                <w:szCs w:val="20"/>
              </w:rPr>
              <w:t> </w:t>
            </w:r>
          </w:p>
        </w:tc>
        <w:tc>
          <w:tcPr>
            <w:tcW w:w="621"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cs="Calibri"/>
                <w:color w:val="333333"/>
                <w:kern w:val="0"/>
                <w:sz w:val="20"/>
                <w:szCs w:val="20"/>
              </w:rPr>
              <w:t>0</w:t>
            </w:r>
            <w:r>
              <w:rPr>
                <w:rFonts w:cs="Calibri"/>
                <w:color w:val="333333"/>
                <w:kern w:val="0"/>
                <w:sz w:val="20"/>
                <w:szCs w:val="20"/>
              </w:rPr>
              <w:t> </w:t>
            </w:r>
          </w:p>
        </w:tc>
        <w:tc>
          <w:tcPr>
            <w:tcW w:w="662"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420"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35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51" w:type="dxa"/>
            <w:vMerge w:val="restart"/>
            <w:tcBorders>
              <w:top w:val="nil"/>
              <w:left w:val="single" w:color="auto" w:sz="8" w:space="0"/>
              <w:bottom w:val="outset" w:color="auto" w:sz="6" w:space="0"/>
              <w:right w:val="single" w:color="auto" w:sz="8" w:space="0"/>
            </w:tcBorders>
            <w:shd w:val="clear" w:color="auto" w:fill="auto"/>
            <w:vAlign w:val="center"/>
          </w:tcPr>
          <w:p>
            <w:pPr>
              <w:widowControl/>
              <w:spacing w:line="24" w:lineRule="atLeast"/>
              <w:jc w:val="center"/>
              <w:rPr>
                <w:rFonts w:ascii="宋体" w:hAnsi="宋体"/>
                <w:color w:val="333333"/>
                <w:kern w:val="0"/>
                <w:sz w:val="20"/>
                <w:szCs w:val="20"/>
              </w:rPr>
            </w:pPr>
            <w:r>
              <w:rPr>
                <w:rFonts w:hint="eastAsia" w:ascii="宋体" w:hAnsi="宋体"/>
                <w:color w:val="333333"/>
                <w:kern w:val="0"/>
                <w:sz w:val="20"/>
                <w:szCs w:val="20"/>
              </w:rPr>
              <w:t>三、</w:t>
            </w:r>
          </w:p>
          <w:p>
            <w:pPr>
              <w:widowControl/>
              <w:spacing w:line="24" w:lineRule="atLeast"/>
              <w:jc w:val="center"/>
            </w:pPr>
            <w:r>
              <w:rPr>
                <w:rFonts w:hint="eastAsia" w:ascii="宋体" w:hAnsi="宋体"/>
                <w:color w:val="333333"/>
                <w:kern w:val="0"/>
                <w:sz w:val="20"/>
                <w:szCs w:val="20"/>
              </w:rPr>
              <w:t>本年度办理结果</w:t>
            </w:r>
          </w:p>
        </w:tc>
        <w:tc>
          <w:tcPr>
            <w:tcW w:w="4183" w:type="dxa"/>
            <w:gridSpan w:val="2"/>
            <w:tcBorders>
              <w:top w:val="nil"/>
              <w:left w:val="nil"/>
              <w:bottom w:val="single" w:color="auto" w:sz="8" w:space="0"/>
              <w:right w:val="single" w:color="auto" w:sz="8" w:space="0"/>
            </w:tcBorders>
            <w:shd w:val="clear" w:color="auto" w:fill="auto"/>
            <w:vAlign w:val="center"/>
          </w:tcPr>
          <w:p>
            <w:pPr>
              <w:widowControl/>
              <w:spacing w:line="24" w:lineRule="atLeast"/>
              <w:jc w:val="left"/>
            </w:pPr>
            <w:r>
              <w:rPr>
                <w:rFonts w:hint="eastAsia" w:ascii="宋体" w:hAnsi="宋体"/>
                <w:color w:val="333333"/>
                <w:kern w:val="0"/>
                <w:sz w:val="20"/>
                <w:szCs w:val="20"/>
              </w:rPr>
              <w:t>（一）予以公开</w:t>
            </w:r>
          </w:p>
        </w:tc>
        <w:tc>
          <w:tcPr>
            <w:tcW w:w="807"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9"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8"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cs="Calibri"/>
                <w:color w:val="333333"/>
                <w:kern w:val="0"/>
                <w:sz w:val="20"/>
                <w:szCs w:val="20"/>
              </w:rPr>
              <w:t>0</w:t>
            </w:r>
            <w:r>
              <w:rPr>
                <w:rFonts w:cs="Calibri"/>
                <w:color w:val="333333"/>
                <w:kern w:val="0"/>
                <w:sz w:val="20"/>
                <w:szCs w:val="20"/>
              </w:rPr>
              <w:t> </w:t>
            </w:r>
          </w:p>
        </w:tc>
        <w:tc>
          <w:tcPr>
            <w:tcW w:w="621"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cs="Calibri"/>
                <w:color w:val="333333"/>
                <w:kern w:val="0"/>
                <w:sz w:val="20"/>
                <w:szCs w:val="20"/>
              </w:rPr>
              <w:t>0</w:t>
            </w:r>
            <w:r>
              <w:rPr>
                <w:rFonts w:cs="Calibri"/>
                <w:color w:val="333333"/>
                <w:kern w:val="0"/>
                <w:sz w:val="20"/>
                <w:szCs w:val="20"/>
              </w:rPr>
              <w:t> </w:t>
            </w:r>
          </w:p>
        </w:tc>
        <w:tc>
          <w:tcPr>
            <w:tcW w:w="662"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cs="Calibri"/>
                <w:color w:val="333333"/>
                <w:kern w:val="0"/>
                <w:sz w:val="20"/>
                <w:szCs w:val="20"/>
              </w:rPr>
              <w:t>0</w:t>
            </w:r>
            <w:r>
              <w:rPr>
                <w:rFonts w:cs="Calibri"/>
                <w:color w:val="333333"/>
                <w:kern w:val="0"/>
                <w:sz w:val="20"/>
                <w:szCs w:val="20"/>
              </w:rPr>
              <w:t> </w:t>
            </w:r>
          </w:p>
        </w:tc>
        <w:tc>
          <w:tcPr>
            <w:tcW w:w="420"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cs="Calibri"/>
                <w:color w:val="333333"/>
                <w:kern w:val="0"/>
                <w:sz w:val="20"/>
                <w:szCs w:val="20"/>
              </w:rPr>
              <w:t>0</w:t>
            </w:r>
            <w:r>
              <w:rPr>
                <w:rFonts w:cs="Calibri"/>
                <w:color w:val="333333"/>
                <w:kern w:val="0"/>
                <w:sz w:val="20"/>
                <w:szCs w:val="20"/>
              </w:rPr>
              <w:t> </w:t>
            </w:r>
          </w:p>
        </w:tc>
        <w:tc>
          <w:tcPr>
            <w:tcW w:w="352"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hint="eastAsia" w:cs="Calibri"/>
                <w:color w:val="333333"/>
                <w:kern w:val="0"/>
                <w:sz w:val="20"/>
                <w:szCs w:val="20"/>
              </w:rPr>
              <w:t>0</w:t>
            </w:r>
            <w:r>
              <w:rPr>
                <w:rFonts w:cs="Calibri"/>
                <w:color w:val="333333"/>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51"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4183" w:type="dxa"/>
            <w:gridSpan w:val="2"/>
            <w:tcBorders>
              <w:top w:val="nil"/>
              <w:left w:val="nil"/>
              <w:bottom w:val="single" w:color="auto" w:sz="8" w:space="0"/>
              <w:right w:val="single" w:color="auto" w:sz="8" w:space="0"/>
            </w:tcBorders>
            <w:shd w:val="clear" w:color="auto" w:fill="auto"/>
            <w:vAlign w:val="center"/>
          </w:tcPr>
          <w:p>
            <w:pPr>
              <w:widowControl/>
              <w:spacing w:line="24" w:lineRule="atLeast"/>
              <w:jc w:val="left"/>
            </w:pPr>
            <w:r>
              <w:rPr>
                <w:rFonts w:hint="eastAsia" w:ascii="宋体" w:hAnsi="宋体"/>
                <w:color w:val="333333"/>
                <w:kern w:val="0"/>
                <w:sz w:val="20"/>
                <w:szCs w:val="20"/>
              </w:rPr>
              <w:t>（二）部分公开</w:t>
            </w:r>
            <w:r>
              <w:rPr>
                <w:rFonts w:hint="eastAsia" w:ascii="楷体" w:hAnsi="楷体" w:eastAsia="楷体" w:cs="楷体"/>
                <w:color w:val="333333"/>
                <w:kern w:val="0"/>
                <w:sz w:val="20"/>
                <w:szCs w:val="20"/>
              </w:rPr>
              <w:t>（区分处理的，只计这一情形，不计其他情形）</w:t>
            </w:r>
          </w:p>
        </w:tc>
        <w:tc>
          <w:tcPr>
            <w:tcW w:w="807"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9"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8"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21"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62"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420"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35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51"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1463" w:type="dxa"/>
            <w:vMerge w:val="restart"/>
            <w:tcBorders>
              <w:top w:val="nil"/>
              <w:left w:val="nil"/>
              <w:bottom w:val="outset" w:color="auto" w:sz="6" w:space="0"/>
              <w:right w:val="single" w:color="auto" w:sz="8" w:space="0"/>
            </w:tcBorders>
            <w:shd w:val="clear" w:color="auto" w:fill="auto"/>
            <w:vAlign w:val="center"/>
          </w:tcPr>
          <w:p>
            <w:pPr>
              <w:widowControl/>
              <w:spacing w:line="24" w:lineRule="atLeast"/>
              <w:jc w:val="left"/>
            </w:pPr>
            <w:r>
              <w:rPr>
                <w:rFonts w:hint="eastAsia" w:ascii="宋体" w:hAnsi="宋体"/>
                <w:color w:val="333333"/>
                <w:kern w:val="0"/>
                <w:sz w:val="20"/>
                <w:szCs w:val="20"/>
              </w:rPr>
              <w:t>（三）不予公开</w:t>
            </w:r>
          </w:p>
        </w:tc>
        <w:tc>
          <w:tcPr>
            <w:tcW w:w="2720" w:type="dxa"/>
            <w:tcBorders>
              <w:top w:val="nil"/>
              <w:left w:val="nil"/>
              <w:bottom w:val="single" w:color="auto" w:sz="8" w:space="0"/>
              <w:right w:val="single" w:color="auto" w:sz="8" w:space="0"/>
            </w:tcBorders>
            <w:shd w:val="clear" w:color="auto" w:fill="auto"/>
          </w:tcPr>
          <w:p>
            <w:pPr>
              <w:widowControl/>
              <w:spacing w:line="24" w:lineRule="atLeast"/>
              <w:jc w:val="left"/>
            </w:pPr>
            <w:r>
              <w:rPr>
                <w:rFonts w:hint="eastAsia" w:ascii="宋体" w:hAnsi="宋体"/>
                <w:color w:val="333333"/>
                <w:kern w:val="0"/>
                <w:sz w:val="20"/>
                <w:szCs w:val="20"/>
              </w:rPr>
              <w:t>1.属于国家秘密</w:t>
            </w:r>
          </w:p>
        </w:tc>
        <w:tc>
          <w:tcPr>
            <w:tcW w:w="807"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9"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8" w:type="dxa"/>
            <w:tcBorders>
              <w:top w:val="nil"/>
              <w:left w:val="nil"/>
              <w:bottom w:val="single" w:color="auto" w:sz="8" w:space="0"/>
              <w:right w:val="single" w:color="auto" w:sz="8" w:space="0"/>
            </w:tcBorders>
            <w:shd w:val="clear" w:color="auto" w:fill="auto"/>
          </w:tcPr>
          <w:p>
            <w:pPr>
              <w:widowControl/>
              <w:spacing w:line="24" w:lineRule="atLeast"/>
            </w:pPr>
            <w:r>
              <w:rPr>
                <w:rFonts w:hint="eastAsia"/>
              </w:rPr>
              <w:t>0</w:t>
            </w:r>
          </w:p>
        </w:tc>
        <w:tc>
          <w:tcPr>
            <w:tcW w:w="621"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66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420"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352"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51"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1463" w:type="dxa"/>
            <w:vMerge w:val="continue"/>
            <w:tcBorders>
              <w:top w:val="nil"/>
              <w:left w:val="nil"/>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2720" w:type="dxa"/>
            <w:tcBorders>
              <w:top w:val="nil"/>
              <w:left w:val="nil"/>
              <w:bottom w:val="single" w:color="auto" w:sz="8" w:space="0"/>
              <w:right w:val="single" w:color="auto" w:sz="8" w:space="0"/>
            </w:tcBorders>
            <w:shd w:val="clear" w:color="auto" w:fill="auto"/>
          </w:tcPr>
          <w:p>
            <w:pPr>
              <w:widowControl/>
              <w:spacing w:line="24" w:lineRule="atLeast"/>
              <w:jc w:val="left"/>
            </w:pPr>
            <w:r>
              <w:rPr>
                <w:rFonts w:hint="eastAsia" w:ascii="宋体" w:hAnsi="宋体"/>
                <w:color w:val="333333"/>
                <w:kern w:val="0"/>
                <w:sz w:val="20"/>
                <w:szCs w:val="20"/>
              </w:rPr>
              <w:t>2.其他法律行政法规禁止公开</w:t>
            </w:r>
          </w:p>
        </w:tc>
        <w:tc>
          <w:tcPr>
            <w:tcW w:w="807"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9"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8"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621"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66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420"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35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51"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1463" w:type="dxa"/>
            <w:vMerge w:val="continue"/>
            <w:tcBorders>
              <w:top w:val="nil"/>
              <w:left w:val="nil"/>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2720" w:type="dxa"/>
            <w:tcBorders>
              <w:top w:val="nil"/>
              <w:left w:val="nil"/>
              <w:bottom w:val="single" w:color="auto" w:sz="8" w:space="0"/>
              <w:right w:val="single" w:color="auto" w:sz="8" w:space="0"/>
            </w:tcBorders>
            <w:shd w:val="clear" w:color="auto" w:fill="auto"/>
          </w:tcPr>
          <w:p>
            <w:pPr>
              <w:widowControl/>
              <w:spacing w:line="24" w:lineRule="atLeast"/>
              <w:jc w:val="left"/>
            </w:pPr>
            <w:r>
              <w:rPr>
                <w:rFonts w:hint="eastAsia" w:ascii="宋体" w:hAnsi="宋体"/>
                <w:color w:val="333333"/>
                <w:kern w:val="0"/>
                <w:sz w:val="20"/>
                <w:szCs w:val="20"/>
              </w:rPr>
              <w:t>3.危及“三安全一稳定”</w:t>
            </w:r>
          </w:p>
        </w:tc>
        <w:tc>
          <w:tcPr>
            <w:tcW w:w="807" w:type="dxa"/>
            <w:tcBorders>
              <w:top w:val="nil"/>
              <w:left w:val="nil"/>
              <w:bottom w:val="single" w:color="auto" w:sz="8" w:space="0"/>
              <w:right w:val="single" w:color="auto" w:sz="8" w:space="0"/>
            </w:tcBorders>
            <w:shd w:val="clear" w:color="auto" w:fill="auto"/>
          </w:tcPr>
          <w:p>
            <w:pPr>
              <w:widowControl/>
              <w:spacing w:line="24" w:lineRule="atLeast"/>
            </w:pPr>
            <w:r>
              <w:rPr>
                <w:rFonts w:hint="eastAsia"/>
              </w:rPr>
              <w:t>0</w:t>
            </w:r>
          </w:p>
        </w:tc>
        <w:tc>
          <w:tcPr>
            <w:tcW w:w="549"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548" w:type="dxa"/>
            <w:tcBorders>
              <w:top w:val="nil"/>
              <w:left w:val="nil"/>
              <w:bottom w:val="single" w:color="auto" w:sz="8" w:space="0"/>
              <w:right w:val="single" w:color="auto" w:sz="8" w:space="0"/>
            </w:tcBorders>
            <w:shd w:val="clear" w:color="auto" w:fill="auto"/>
          </w:tcPr>
          <w:p>
            <w:pPr>
              <w:widowControl/>
              <w:spacing w:line="24" w:lineRule="atLeast"/>
            </w:pPr>
            <w:r>
              <w:rPr>
                <w:rFonts w:hint="eastAsia"/>
              </w:rPr>
              <w:t>0</w:t>
            </w:r>
          </w:p>
        </w:tc>
        <w:tc>
          <w:tcPr>
            <w:tcW w:w="621" w:type="dxa"/>
            <w:tcBorders>
              <w:top w:val="nil"/>
              <w:left w:val="nil"/>
              <w:bottom w:val="single" w:color="auto" w:sz="8" w:space="0"/>
              <w:right w:val="single" w:color="auto" w:sz="8" w:space="0"/>
            </w:tcBorders>
            <w:shd w:val="clear" w:color="auto" w:fill="auto"/>
          </w:tcPr>
          <w:p>
            <w:pPr>
              <w:widowControl/>
              <w:spacing w:line="24" w:lineRule="atLeast"/>
            </w:pPr>
            <w:r>
              <w:rPr>
                <w:rFonts w:hint="eastAsia"/>
              </w:rPr>
              <w:t>0</w:t>
            </w:r>
          </w:p>
        </w:tc>
        <w:tc>
          <w:tcPr>
            <w:tcW w:w="66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420"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35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51"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1463" w:type="dxa"/>
            <w:vMerge w:val="continue"/>
            <w:tcBorders>
              <w:top w:val="nil"/>
              <w:left w:val="nil"/>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2720" w:type="dxa"/>
            <w:tcBorders>
              <w:top w:val="nil"/>
              <w:left w:val="nil"/>
              <w:bottom w:val="single" w:color="auto" w:sz="8" w:space="0"/>
              <w:right w:val="single" w:color="auto" w:sz="8" w:space="0"/>
            </w:tcBorders>
            <w:shd w:val="clear" w:color="auto" w:fill="auto"/>
          </w:tcPr>
          <w:p>
            <w:pPr>
              <w:widowControl/>
              <w:spacing w:line="24" w:lineRule="atLeast"/>
              <w:jc w:val="left"/>
            </w:pPr>
            <w:r>
              <w:rPr>
                <w:rFonts w:hint="eastAsia" w:ascii="宋体" w:hAnsi="宋体"/>
                <w:color w:val="333333"/>
                <w:kern w:val="0"/>
                <w:sz w:val="20"/>
                <w:szCs w:val="20"/>
              </w:rPr>
              <w:t>4.保护第三方合法权益</w:t>
            </w:r>
          </w:p>
        </w:tc>
        <w:tc>
          <w:tcPr>
            <w:tcW w:w="807"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cs="Calibri"/>
                <w:color w:val="333333"/>
                <w:kern w:val="0"/>
                <w:sz w:val="20"/>
                <w:szCs w:val="20"/>
              </w:rPr>
              <w:t>0</w:t>
            </w:r>
            <w:r>
              <w:rPr>
                <w:rFonts w:cs="Calibri"/>
                <w:color w:val="333333"/>
                <w:kern w:val="0"/>
                <w:sz w:val="20"/>
                <w:szCs w:val="20"/>
              </w:rPr>
              <w:t> </w:t>
            </w:r>
          </w:p>
        </w:tc>
        <w:tc>
          <w:tcPr>
            <w:tcW w:w="549" w:type="dxa"/>
            <w:tcBorders>
              <w:top w:val="nil"/>
              <w:left w:val="nil"/>
              <w:bottom w:val="single" w:color="auto" w:sz="8" w:space="0"/>
              <w:right w:val="single" w:color="auto" w:sz="8" w:space="0"/>
            </w:tcBorders>
            <w:shd w:val="clear" w:color="auto" w:fill="auto"/>
          </w:tcPr>
          <w:p>
            <w:pPr>
              <w:widowControl/>
              <w:spacing w:line="24" w:lineRule="atLeast"/>
            </w:pPr>
            <w:r>
              <w:rPr>
                <w:rFonts w:hint="eastAsia"/>
              </w:rPr>
              <w:t>0</w:t>
            </w:r>
          </w:p>
        </w:tc>
        <w:tc>
          <w:tcPr>
            <w:tcW w:w="548"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621"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66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420"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35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51"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1463" w:type="dxa"/>
            <w:vMerge w:val="continue"/>
            <w:tcBorders>
              <w:top w:val="nil"/>
              <w:left w:val="nil"/>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2720" w:type="dxa"/>
            <w:tcBorders>
              <w:top w:val="nil"/>
              <w:left w:val="nil"/>
              <w:bottom w:val="single" w:color="auto" w:sz="8" w:space="0"/>
              <w:right w:val="single" w:color="auto" w:sz="8" w:space="0"/>
            </w:tcBorders>
            <w:shd w:val="clear" w:color="auto" w:fill="auto"/>
          </w:tcPr>
          <w:p>
            <w:pPr>
              <w:widowControl/>
              <w:spacing w:line="24" w:lineRule="atLeast"/>
              <w:jc w:val="left"/>
            </w:pPr>
            <w:r>
              <w:rPr>
                <w:rFonts w:hint="eastAsia" w:ascii="宋体" w:hAnsi="宋体"/>
                <w:color w:val="333333"/>
                <w:kern w:val="0"/>
                <w:sz w:val="20"/>
                <w:szCs w:val="20"/>
              </w:rPr>
              <w:t>5.属于三类内部事务信息</w:t>
            </w:r>
          </w:p>
        </w:tc>
        <w:tc>
          <w:tcPr>
            <w:tcW w:w="807"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9"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548"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621"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66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420"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35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51"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1463" w:type="dxa"/>
            <w:vMerge w:val="continue"/>
            <w:tcBorders>
              <w:top w:val="nil"/>
              <w:left w:val="nil"/>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2720" w:type="dxa"/>
            <w:tcBorders>
              <w:top w:val="nil"/>
              <w:left w:val="nil"/>
              <w:bottom w:val="single" w:color="auto" w:sz="8" w:space="0"/>
              <w:right w:val="single" w:color="auto" w:sz="8" w:space="0"/>
            </w:tcBorders>
            <w:shd w:val="clear" w:color="auto" w:fill="auto"/>
          </w:tcPr>
          <w:p>
            <w:pPr>
              <w:widowControl/>
              <w:spacing w:line="24" w:lineRule="atLeast"/>
              <w:jc w:val="left"/>
            </w:pPr>
            <w:r>
              <w:rPr>
                <w:rFonts w:hint="eastAsia" w:ascii="宋体" w:hAnsi="宋体"/>
                <w:color w:val="333333"/>
                <w:kern w:val="0"/>
                <w:sz w:val="20"/>
                <w:szCs w:val="20"/>
              </w:rPr>
              <w:t>6.属于四类过程性信息</w:t>
            </w:r>
          </w:p>
        </w:tc>
        <w:tc>
          <w:tcPr>
            <w:tcW w:w="807"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9"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548"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621"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66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420"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35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51"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1463" w:type="dxa"/>
            <w:vMerge w:val="continue"/>
            <w:tcBorders>
              <w:top w:val="nil"/>
              <w:left w:val="nil"/>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2720" w:type="dxa"/>
            <w:tcBorders>
              <w:top w:val="nil"/>
              <w:left w:val="nil"/>
              <w:bottom w:val="single" w:color="auto" w:sz="8" w:space="0"/>
              <w:right w:val="single" w:color="auto" w:sz="8" w:space="0"/>
            </w:tcBorders>
            <w:shd w:val="clear" w:color="auto" w:fill="auto"/>
          </w:tcPr>
          <w:p>
            <w:pPr>
              <w:widowControl/>
              <w:spacing w:line="24" w:lineRule="atLeast"/>
              <w:jc w:val="left"/>
            </w:pPr>
            <w:r>
              <w:rPr>
                <w:rFonts w:hint="eastAsia" w:ascii="宋体" w:hAnsi="宋体"/>
                <w:color w:val="333333"/>
                <w:kern w:val="0"/>
                <w:sz w:val="20"/>
                <w:szCs w:val="20"/>
              </w:rPr>
              <w:t>7.属于行政执法案卷</w:t>
            </w:r>
          </w:p>
        </w:tc>
        <w:tc>
          <w:tcPr>
            <w:tcW w:w="807"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9"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8"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21"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6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420"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35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51"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1463" w:type="dxa"/>
            <w:vMerge w:val="continue"/>
            <w:tcBorders>
              <w:top w:val="nil"/>
              <w:left w:val="nil"/>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2720" w:type="dxa"/>
            <w:tcBorders>
              <w:top w:val="nil"/>
              <w:left w:val="nil"/>
              <w:bottom w:val="single" w:color="auto" w:sz="8" w:space="0"/>
              <w:right w:val="single" w:color="auto" w:sz="8" w:space="0"/>
            </w:tcBorders>
            <w:shd w:val="clear" w:color="auto" w:fill="auto"/>
          </w:tcPr>
          <w:p>
            <w:pPr>
              <w:widowControl/>
              <w:spacing w:line="24" w:lineRule="atLeast"/>
              <w:jc w:val="left"/>
            </w:pPr>
            <w:r>
              <w:rPr>
                <w:rFonts w:hint="eastAsia" w:ascii="宋体" w:hAnsi="宋体"/>
                <w:color w:val="333333"/>
                <w:kern w:val="0"/>
                <w:sz w:val="20"/>
                <w:szCs w:val="20"/>
              </w:rPr>
              <w:t>8.属于行政查询事项</w:t>
            </w:r>
          </w:p>
        </w:tc>
        <w:tc>
          <w:tcPr>
            <w:tcW w:w="807"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9"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8"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21"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6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420"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35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51"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1463" w:type="dxa"/>
            <w:vMerge w:val="restart"/>
            <w:tcBorders>
              <w:top w:val="nil"/>
              <w:left w:val="nil"/>
              <w:bottom w:val="outset" w:color="auto" w:sz="6" w:space="0"/>
              <w:right w:val="single" w:color="auto" w:sz="8" w:space="0"/>
            </w:tcBorders>
            <w:shd w:val="clear" w:color="auto" w:fill="auto"/>
            <w:vAlign w:val="center"/>
          </w:tcPr>
          <w:p>
            <w:pPr>
              <w:widowControl/>
              <w:spacing w:line="24" w:lineRule="atLeast"/>
              <w:jc w:val="left"/>
            </w:pPr>
            <w:r>
              <w:rPr>
                <w:rFonts w:hint="eastAsia" w:ascii="宋体" w:hAnsi="宋体"/>
                <w:color w:val="333333"/>
                <w:kern w:val="0"/>
                <w:sz w:val="20"/>
                <w:szCs w:val="20"/>
              </w:rPr>
              <w:t>（四）无法提供</w:t>
            </w:r>
          </w:p>
        </w:tc>
        <w:tc>
          <w:tcPr>
            <w:tcW w:w="2720" w:type="dxa"/>
            <w:tcBorders>
              <w:top w:val="nil"/>
              <w:left w:val="nil"/>
              <w:bottom w:val="single" w:color="auto" w:sz="8" w:space="0"/>
              <w:right w:val="single" w:color="auto" w:sz="8" w:space="0"/>
            </w:tcBorders>
            <w:shd w:val="clear" w:color="auto" w:fill="auto"/>
          </w:tcPr>
          <w:p>
            <w:pPr>
              <w:widowControl/>
              <w:spacing w:line="24" w:lineRule="atLeast"/>
              <w:jc w:val="left"/>
            </w:pPr>
            <w:r>
              <w:rPr>
                <w:rFonts w:hint="eastAsia" w:ascii="宋体" w:hAnsi="宋体"/>
                <w:color w:val="333333"/>
                <w:kern w:val="0"/>
                <w:sz w:val="20"/>
                <w:szCs w:val="20"/>
              </w:rPr>
              <w:t>1.本机关不掌握相关政府信息</w:t>
            </w:r>
          </w:p>
        </w:tc>
        <w:tc>
          <w:tcPr>
            <w:tcW w:w="807"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9"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8"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621"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6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420"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35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51"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1463" w:type="dxa"/>
            <w:vMerge w:val="continue"/>
            <w:tcBorders>
              <w:top w:val="nil"/>
              <w:left w:val="nil"/>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2720" w:type="dxa"/>
            <w:tcBorders>
              <w:top w:val="nil"/>
              <w:left w:val="nil"/>
              <w:bottom w:val="single" w:color="auto" w:sz="8" w:space="0"/>
              <w:right w:val="single" w:color="auto" w:sz="8" w:space="0"/>
            </w:tcBorders>
            <w:shd w:val="clear" w:color="auto" w:fill="auto"/>
          </w:tcPr>
          <w:p>
            <w:pPr>
              <w:widowControl/>
              <w:spacing w:line="24" w:lineRule="atLeast"/>
              <w:jc w:val="left"/>
            </w:pPr>
            <w:r>
              <w:rPr>
                <w:rFonts w:hint="eastAsia" w:ascii="宋体" w:hAnsi="宋体"/>
                <w:color w:val="333333"/>
                <w:kern w:val="0"/>
                <w:sz w:val="20"/>
                <w:szCs w:val="20"/>
              </w:rPr>
              <w:t>2.没有现成信息需要另行制作</w:t>
            </w:r>
          </w:p>
        </w:tc>
        <w:tc>
          <w:tcPr>
            <w:tcW w:w="807"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9"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548"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21"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6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420"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35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51"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1463" w:type="dxa"/>
            <w:vMerge w:val="continue"/>
            <w:tcBorders>
              <w:top w:val="nil"/>
              <w:left w:val="nil"/>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2720" w:type="dxa"/>
            <w:tcBorders>
              <w:top w:val="nil"/>
              <w:left w:val="nil"/>
              <w:bottom w:val="single" w:color="auto" w:sz="8" w:space="0"/>
              <w:right w:val="single" w:color="auto" w:sz="8" w:space="0"/>
            </w:tcBorders>
            <w:shd w:val="clear" w:color="auto" w:fill="auto"/>
          </w:tcPr>
          <w:p>
            <w:pPr>
              <w:widowControl/>
              <w:spacing w:line="24" w:lineRule="atLeast"/>
              <w:jc w:val="left"/>
            </w:pPr>
            <w:r>
              <w:rPr>
                <w:rFonts w:hint="eastAsia" w:ascii="宋体" w:hAnsi="宋体"/>
                <w:color w:val="333333"/>
                <w:kern w:val="0"/>
                <w:sz w:val="20"/>
                <w:szCs w:val="20"/>
              </w:rPr>
              <w:t>3.补正后申请内容仍不明确</w:t>
            </w:r>
          </w:p>
        </w:tc>
        <w:tc>
          <w:tcPr>
            <w:tcW w:w="807"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9"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548"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21"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6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420"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35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51"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1463" w:type="dxa"/>
            <w:vMerge w:val="restart"/>
            <w:tcBorders>
              <w:top w:val="nil"/>
              <w:left w:val="nil"/>
              <w:bottom w:val="outset" w:color="auto" w:sz="6" w:space="0"/>
              <w:right w:val="single" w:color="auto" w:sz="8" w:space="0"/>
            </w:tcBorders>
            <w:shd w:val="clear" w:color="auto" w:fill="auto"/>
            <w:vAlign w:val="center"/>
          </w:tcPr>
          <w:p>
            <w:pPr>
              <w:widowControl/>
              <w:spacing w:line="24" w:lineRule="atLeast"/>
              <w:jc w:val="left"/>
            </w:pPr>
            <w:r>
              <w:rPr>
                <w:rFonts w:hint="eastAsia" w:ascii="宋体" w:hAnsi="宋体"/>
                <w:color w:val="333333"/>
                <w:kern w:val="0"/>
                <w:sz w:val="20"/>
                <w:szCs w:val="20"/>
              </w:rPr>
              <w:t>（五）不予处理</w:t>
            </w:r>
          </w:p>
        </w:tc>
        <w:tc>
          <w:tcPr>
            <w:tcW w:w="2720" w:type="dxa"/>
            <w:tcBorders>
              <w:top w:val="nil"/>
              <w:left w:val="nil"/>
              <w:bottom w:val="single" w:color="auto" w:sz="8" w:space="0"/>
              <w:right w:val="single" w:color="auto" w:sz="8" w:space="0"/>
            </w:tcBorders>
            <w:shd w:val="clear" w:color="auto" w:fill="auto"/>
          </w:tcPr>
          <w:p>
            <w:pPr>
              <w:widowControl/>
              <w:spacing w:line="24" w:lineRule="atLeast"/>
              <w:jc w:val="left"/>
            </w:pPr>
            <w:r>
              <w:rPr>
                <w:rFonts w:hint="eastAsia" w:ascii="宋体" w:hAnsi="宋体"/>
                <w:color w:val="333333"/>
                <w:kern w:val="0"/>
                <w:sz w:val="20"/>
                <w:szCs w:val="20"/>
              </w:rPr>
              <w:t>1.信访举报投诉类申请</w:t>
            </w:r>
          </w:p>
        </w:tc>
        <w:tc>
          <w:tcPr>
            <w:tcW w:w="807"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549"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8"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21"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66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420"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35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51"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1463" w:type="dxa"/>
            <w:vMerge w:val="continue"/>
            <w:tcBorders>
              <w:top w:val="nil"/>
              <w:left w:val="nil"/>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2720" w:type="dxa"/>
            <w:tcBorders>
              <w:top w:val="single" w:color="auto" w:sz="8" w:space="0"/>
              <w:left w:val="nil"/>
              <w:bottom w:val="single" w:color="auto" w:sz="8" w:space="0"/>
              <w:right w:val="single" w:color="auto" w:sz="8" w:space="0"/>
            </w:tcBorders>
            <w:shd w:val="clear" w:color="auto" w:fill="auto"/>
          </w:tcPr>
          <w:p>
            <w:pPr>
              <w:widowControl/>
              <w:spacing w:line="24" w:lineRule="atLeast"/>
              <w:jc w:val="left"/>
            </w:pPr>
            <w:r>
              <w:rPr>
                <w:rFonts w:hint="eastAsia" w:ascii="宋体" w:hAnsi="宋体"/>
                <w:color w:val="333333"/>
                <w:kern w:val="0"/>
                <w:sz w:val="20"/>
                <w:szCs w:val="20"/>
              </w:rPr>
              <w:t>2.重复申请</w:t>
            </w:r>
          </w:p>
        </w:tc>
        <w:tc>
          <w:tcPr>
            <w:tcW w:w="807"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9"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8"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21"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62"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420"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352"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51"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1463" w:type="dxa"/>
            <w:vMerge w:val="continue"/>
            <w:tcBorders>
              <w:top w:val="nil"/>
              <w:left w:val="nil"/>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2720" w:type="dxa"/>
            <w:tcBorders>
              <w:top w:val="single" w:color="auto" w:sz="8" w:space="0"/>
              <w:left w:val="nil"/>
              <w:bottom w:val="single" w:color="auto" w:sz="8" w:space="0"/>
              <w:right w:val="single" w:color="auto" w:sz="8" w:space="0"/>
            </w:tcBorders>
            <w:shd w:val="clear" w:color="auto" w:fill="auto"/>
          </w:tcPr>
          <w:p>
            <w:pPr>
              <w:widowControl/>
              <w:spacing w:line="24" w:lineRule="atLeast"/>
              <w:jc w:val="left"/>
            </w:pPr>
            <w:r>
              <w:rPr>
                <w:rFonts w:hint="eastAsia" w:ascii="宋体" w:hAnsi="宋体"/>
                <w:color w:val="333333"/>
                <w:kern w:val="0"/>
                <w:sz w:val="20"/>
                <w:szCs w:val="20"/>
              </w:rPr>
              <w:t>3.要求提供公开出版物</w:t>
            </w:r>
          </w:p>
        </w:tc>
        <w:tc>
          <w:tcPr>
            <w:tcW w:w="807"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9"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8"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21"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62"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420"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352"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51"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1463" w:type="dxa"/>
            <w:vMerge w:val="continue"/>
            <w:tcBorders>
              <w:top w:val="nil"/>
              <w:left w:val="nil"/>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2720" w:type="dxa"/>
            <w:tcBorders>
              <w:top w:val="single" w:color="auto" w:sz="8" w:space="0"/>
              <w:left w:val="nil"/>
              <w:bottom w:val="single" w:color="auto" w:sz="8" w:space="0"/>
              <w:right w:val="single" w:color="auto" w:sz="8" w:space="0"/>
            </w:tcBorders>
            <w:shd w:val="clear" w:color="auto" w:fill="auto"/>
          </w:tcPr>
          <w:p>
            <w:pPr>
              <w:widowControl/>
              <w:spacing w:line="24" w:lineRule="atLeast"/>
              <w:jc w:val="left"/>
            </w:pPr>
            <w:r>
              <w:rPr>
                <w:rFonts w:hint="eastAsia" w:ascii="宋体" w:hAnsi="宋体"/>
                <w:color w:val="333333"/>
                <w:kern w:val="0"/>
                <w:sz w:val="20"/>
                <w:szCs w:val="20"/>
              </w:rPr>
              <w:t>4.无正当理由大量反复申请</w:t>
            </w:r>
          </w:p>
        </w:tc>
        <w:tc>
          <w:tcPr>
            <w:tcW w:w="807"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9"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548"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21"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662"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420"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c>
          <w:tcPr>
            <w:tcW w:w="352" w:type="dxa"/>
            <w:tcBorders>
              <w:top w:val="single" w:color="auto" w:sz="8" w:space="0"/>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779" w:hRule="atLeast"/>
          <w:jc w:val="center"/>
        </w:trPr>
        <w:tc>
          <w:tcPr>
            <w:tcW w:w="551"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1463" w:type="dxa"/>
            <w:vMerge w:val="continue"/>
            <w:tcBorders>
              <w:top w:val="nil"/>
              <w:left w:val="nil"/>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2720" w:type="dxa"/>
            <w:tcBorders>
              <w:top w:val="nil"/>
              <w:left w:val="nil"/>
              <w:bottom w:val="outset" w:color="auto" w:sz="6" w:space="0"/>
              <w:right w:val="single" w:color="auto" w:sz="8" w:space="0"/>
            </w:tcBorders>
            <w:shd w:val="clear" w:color="auto" w:fill="auto"/>
            <w:vAlign w:val="center"/>
          </w:tcPr>
          <w:p>
            <w:pPr>
              <w:widowControl/>
              <w:spacing w:line="24" w:lineRule="atLeast"/>
            </w:pPr>
            <w:r>
              <w:rPr>
                <w:rFonts w:hint="eastAsia" w:ascii="宋体" w:hAnsi="宋体"/>
                <w:color w:val="333333"/>
                <w:kern w:val="0"/>
                <w:sz w:val="20"/>
                <w:szCs w:val="20"/>
              </w:rPr>
              <w:t>5.要求行政机关确认或重新出具已获取信息</w:t>
            </w:r>
          </w:p>
        </w:tc>
        <w:tc>
          <w:tcPr>
            <w:tcW w:w="807" w:type="dxa"/>
            <w:tcBorders>
              <w:top w:val="nil"/>
              <w:left w:val="nil"/>
              <w:bottom w:val="outset" w:color="auto" w:sz="6" w:space="0"/>
              <w:right w:val="single" w:color="auto" w:sz="8" w:space="0"/>
            </w:tcBorders>
            <w:shd w:val="clear" w:color="auto" w:fill="auto"/>
          </w:tcPr>
          <w:p>
            <w:pPr>
              <w:widowControl/>
              <w:spacing w:line="24" w:lineRule="atLeast"/>
              <w:jc w:val="center"/>
            </w:pPr>
            <w:r>
              <w:rPr>
                <w:rFonts w:hint="eastAsia"/>
              </w:rPr>
              <w:t>0</w:t>
            </w:r>
          </w:p>
        </w:tc>
        <w:tc>
          <w:tcPr>
            <w:tcW w:w="549" w:type="dxa"/>
            <w:tcBorders>
              <w:top w:val="nil"/>
              <w:left w:val="nil"/>
              <w:bottom w:val="outset" w:color="auto" w:sz="6"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8" w:type="dxa"/>
            <w:tcBorders>
              <w:top w:val="nil"/>
              <w:left w:val="nil"/>
              <w:bottom w:val="outset" w:color="auto" w:sz="6" w:space="0"/>
              <w:right w:val="single" w:color="auto" w:sz="8" w:space="0"/>
            </w:tcBorders>
            <w:shd w:val="clear" w:color="auto" w:fill="auto"/>
          </w:tcPr>
          <w:p>
            <w:pPr>
              <w:widowControl/>
              <w:spacing w:line="24" w:lineRule="atLeast"/>
              <w:jc w:val="center"/>
            </w:pPr>
            <w:r>
              <w:rPr>
                <w:rFonts w:hint="eastAsia"/>
              </w:rPr>
              <w:t>0</w:t>
            </w:r>
          </w:p>
        </w:tc>
        <w:tc>
          <w:tcPr>
            <w:tcW w:w="621" w:type="dxa"/>
            <w:tcBorders>
              <w:top w:val="nil"/>
              <w:left w:val="nil"/>
              <w:bottom w:val="outset" w:color="auto" w:sz="6"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62" w:type="dxa"/>
            <w:tcBorders>
              <w:top w:val="nil"/>
              <w:left w:val="nil"/>
              <w:bottom w:val="outset" w:color="auto" w:sz="6"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420" w:type="dxa"/>
            <w:tcBorders>
              <w:top w:val="nil"/>
              <w:left w:val="nil"/>
              <w:bottom w:val="outset" w:color="auto" w:sz="6" w:space="0"/>
              <w:right w:val="single" w:color="auto" w:sz="8" w:space="0"/>
            </w:tcBorders>
            <w:shd w:val="clear" w:color="auto" w:fill="auto"/>
          </w:tcPr>
          <w:p>
            <w:pPr>
              <w:widowControl/>
              <w:spacing w:line="24" w:lineRule="atLeast"/>
              <w:jc w:val="center"/>
            </w:pPr>
            <w:r>
              <w:rPr>
                <w:rFonts w:hint="eastAsia"/>
              </w:rPr>
              <w:t>0</w:t>
            </w:r>
          </w:p>
        </w:tc>
        <w:tc>
          <w:tcPr>
            <w:tcW w:w="352" w:type="dxa"/>
            <w:tcBorders>
              <w:top w:val="nil"/>
              <w:left w:val="nil"/>
              <w:bottom w:val="outset" w:color="auto" w:sz="6" w:space="0"/>
              <w:right w:val="single" w:color="auto" w:sz="8" w:space="0"/>
            </w:tcBorders>
            <w:shd w:val="clear" w:color="auto" w:fill="auto"/>
          </w:tcPr>
          <w:p>
            <w:pPr>
              <w:widowControl/>
              <w:spacing w:line="24"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51"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1463" w:type="dxa"/>
            <w:vMerge w:val="restart"/>
            <w:tcBorders>
              <w:top w:val="outset" w:color="auto" w:sz="6" w:space="0"/>
              <w:left w:val="nil"/>
              <w:bottom w:val="outset" w:color="auto" w:sz="6" w:space="0"/>
              <w:right w:val="single" w:color="auto" w:sz="8" w:space="0"/>
            </w:tcBorders>
            <w:shd w:val="clear" w:color="auto" w:fill="auto"/>
            <w:vAlign w:val="center"/>
          </w:tcPr>
          <w:p>
            <w:pPr>
              <w:widowControl/>
              <w:spacing w:line="24" w:lineRule="atLeast"/>
              <w:jc w:val="left"/>
            </w:pPr>
            <w:r>
              <w:rPr>
                <w:rFonts w:hint="eastAsia" w:ascii="宋体" w:hAnsi="宋体"/>
                <w:color w:val="333333"/>
                <w:kern w:val="0"/>
                <w:sz w:val="20"/>
                <w:szCs w:val="20"/>
              </w:rPr>
              <w:t>（六）其他处理</w:t>
            </w:r>
          </w:p>
        </w:tc>
        <w:tc>
          <w:tcPr>
            <w:tcW w:w="2720" w:type="dxa"/>
            <w:tcBorders>
              <w:top w:val="nil"/>
              <w:left w:val="nil"/>
              <w:bottom w:val="single" w:color="auto" w:sz="8" w:space="0"/>
              <w:right w:val="single" w:color="auto" w:sz="8" w:space="0"/>
            </w:tcBorders>
            <w:shd w:val="clear" w:color="auto" w:fill="auto"/>
            <w:vAlign w:val="center"/>
          </w:tcPr>
          <w:p>
            <w:pPr>
              <w:widowControl/>
              <w:spacing w:line="24" w:lineRule="atLeast"/>
            </w:pPr>
            <w:r>
              <w:rPr>
                <w:rFonts w:hint="eastAsia" w:ascii="宋体" w:hAnsi="宋体"/>
                <w:color w:val="333333"/>
                <w:kern w:val="0"/>
                <w:sz w:val="20"/>
                <w:szCs w:val="20"/>
              </w:rPr>
              <w:t>1.申请人无正当理由逾期不补正、行政机关不再处理其政府信息公开申请</w:t>
            </w:r>
          </w:p>
        </w:tc>
        <w:tc>
          <w:tcPr>
            <w:tcW w:w="807"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9"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8"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21"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rPr>
              <w:t>0</w:t>
            </w:r>
          </w:p>
        </w:tc>
        <w:tc>
          <w:tcPr>
            <w:tcW w:w="662"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rPr>
              <w:t>0</w:t>
            </w:r>
          </w:p>
        </w:tc>
        <w:tc>
          <w:tcPr>
            <w:tcW w:w="420"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35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51"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1463" w:type="dxa"/>
            <w:vMerge w:val="continue"/>
            <w:tcBorders>
              <w:top w:val="outset" w:color="auto" w:sz="6" w:space="0"/>
              <w:left w:val="nil"/>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2720" w:type="dxa"/>
            <w:tcBorders>
              <w:top w:val="nil"/>
              <w:left w:val="nil"/>
              <w:bottom w:val="single" w:color="auto" w:sz="8" w:space="0"/>
              <w:right w:val="single" w:color="auto" w:sz="8" w:space="0"/>
            </w:tcBorders>
            <w:shd w:val="clear" w:color="auto" w:fill="auto"/>
            <w:vAlign w:val="center"/>
          </w:tcPr>
          <w:p>
            <w:pPr>
              <w:widowControl/>
              <w:spacing w:line="24" w:lineRule="atLeast"/>
            </w:pPr>
            <w:r>
              <w:rPr>
                <w:rFonts w:hint="eastAsia" w:ascii="宋体" w:hAnsi="宋体"/>
                <w:color w:val="333333"/>
                <w:kern w:val="0"/>
                <w:sz w:val="20"/>
                <w:szCs w:val="20"/>
              </w:rPr>
              <w:t>2.申请人逾期未按收费通知要求缴纳费用、行政机关不再处理其政府信息公开申请</w:t>
            </w:r>
          </w:p>
        </w:tc>
        <w:tc>
          <w:tcPr>
            <w:tcW w:w="807"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rPr>
              <w:t>0</w:t>
            </w:r>
          </w:p>
        </w:tc>
        <w:tc>
          <w:tcPr>
            <w:tcW w:w="549"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rPr>
              <w:t>0</w:t>
            </w:r>
          </w:p>
        </w:tc>
        <w:tc>
          <w:tcPr>
            <w:tcW w:w="548"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rPr>
              <w:t>0</w:t>
            </w:r>
          </w:p>
        </w:tc>
        <w:tc>
          <w:tcPr>
            <w:tcW w:w="621"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62"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rPr>
              <w:t>0</w:t>
            </w:r>
          </w:p>
        </w:tc>
        <w:tc>
          <w:tcPr>
            <w:tcW w:w="420"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rPr>
              <w:t>0</w:t>
            </w:r>
          </w:p>
        </w:tc>
        <w:tc>
          <w:tcPr>
            <w:tcW w:w="35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51"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1463" w:type="dxa"/>
            <w:vMerge w:val="continue"/>
            <w:tcBorders>
              <w:top w:val="outset" w:color="auto" w:sz="6" w:space="0"/>
              <w:left w:val="nil"/>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2720" w:type="dxa"/>
            <w:tcBorders>
              <w:top w:val="nil"/>
              <w:left w:val="nil"/>
              <w:bottom w:val="single" w:color="auto" w:sz="8" w:space="0"/>
              <w:right w:val="single" w:color="auto" w:sz="8" w:space="0"/>
            </w:tcBorders>
            <w:shd w:val="clear" w:color="auto" w:fill="auto"/>
            <w:vAlign w:val="center"/>
          </w:tcPr>
          <w:p>
            <w:pPr>
              <w:widowControl/>
              <w:spacing w:line="24" w:lineRule="atLeast"/>
              <w:jc w:val="left"/>
            </w:pPr>
            <w:r>
              <w:rPr>
                <w:rFonts w:hint="eastAsia" w:ascii="宋体" w:hAnsi="宋体"/>
                <w:color w:val="333333"/>
                <w:kern w:val="0"/>
                <w:sz w:val="20"/>
                <w:szCs w:val="20"/>
              </w:rPr>
              <w:t>3.其他</w:t>
            </w:r>
          </w:p>
        </w:tc>
        <w:tc>
          <w:tcPr>
            <w:tcW w:w="807"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rPr>
              <w:t>0</w:t>
            </w:r>
          </w:p>
        </w:tc>
        <w:tc>
          <w:tcPr>
            <w:tcW w:w="549"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rPr>
              <w:t>0</w:t>
            </w:r>
          </w:p>
        </w:tc>
        <w:tc>
          <w:tcPr>
            <w:tcW w:w="548"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rPr>
              <w:t>0</w:t>
            </w:r>
          </w:p>
        </w:tc>
        <w:tc>
          <w:tcPr>
            <w:tcW w:w="621"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rPr>
              <w:t>0</w:t>
            </w:r>
          </w:p>
        </w:tc>
        <w:tc>
          <w:tcPr>
            <w:tcW w:w="662" w:type="dxa"/>
            <w:tcBorders>
              <w:top w:val="nil"/>
              <w:left w:val="nil"/>
              <w:bottom w:val="single" w:color="auto" w:sz="8" w:space="0"/>
              <w:right w:val="single" w:color="auto" w:sz="8" w:space="0"/>
            </w:tcBorders>
            <w:shd w:val="clear" w:color="auto" w:fill="auto"/>
            <w:vAlign w:val="center"/>
          </w:tcPr>
          <w:p>
            <w:pPr>
              <w:widowControl/>
              <w:spacing w:line="24" w:lineRule="atLeast"/>
            </w:pPr>
            <w:r>
              <w:rPr>
                <w:rFonts w:hint="eastAsia"/>
              </w:rPr>
              <w:t>0</w:t>
            </w:r>
          </w:p>
        </w:tc>
        <w:tc>
          <w:tcPr>
            <w:tcW w:w="420"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rPr>
              <w:t>0</w:t>
            </w:r>
          </w:p>
        </w:tc>
        <w:tc>
          <w:tcPr>
            <w:tcW w:w="35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551"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ascii="宋体" w:hAnsi="宋体"/>
                <w:color w:val="333333"/>
                <w:sz w:val="16"/>
                <w:szCs w:val="16"/>
              </w:rPr>
            </w:pPr>
          </w:p>
        </w:tc>
        <w:tc>
          <w:tcPr>
            <w:tcW w:w="4183" w:type="dxa"/>
            <w:gridSpan w:val="2"/>
            <w:tcBorders>
              <w:top w:val="nil"/>
              <w:left w:val="nil"/>
              <w:bottom w:val="single" w:color="auto" w:sz="8" w:space="0"/>
              <w:right w:val="single" w:color="auto" w:sz="8" w:space="0"/>
            </w:tcBorders>
            <w:shd w:val="clear" w:color="auto" w:fill="auto"/>
            <w:vAlign w:val="center"/>
          </w:tcPr>
          <w:p>
            <w:pPr>
              <w:widowControl/>
              <w:spacing w:line="24" w:lineRule="atLeast"/>
              <w:jc w:val="left"/>
            </w:pPr>
            <w:r>
              <w:rPr>
                <w:rFonts w:hint="eastAsia" w:ascii="宋体" w:hAnsi="宋体"/>
                <w:color w:val="333333"/>
                <w:kern w:val="0"/>
                <w:sz w:val="20"/>
                <w:szCs w:val="20"/>
              </w:rPr>
              <w:t>（七）总计</w:t>
            </w:r>
          </w:p>
        </w:tc>
        <w:tc>
          <w:tcPr>
            <w:tcW w:w="807"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9"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8"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21"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cs="Calibri"/>
                <w:color w:val="333333"/>
                <w:kern w:val="0"/>
                <w:sz w:val="20"/>
                <w:szCs w:val="20"/>
              </w:rPr>
              <w:t>0</w:t>
            </w:r>
            <w:r>
              <w:rPr>
                <w:rFonts w:cs="Calibri"/>
                <w:color w:val="333333"/>
                <w:kern w:val="0"/>
                <w:sz w:val="20"/>
                <w:szCs w:val="20"/>
              </w:rPr>
              <w:t> </w:t>
            </w:r>
          </w:p>
        </w:tc>
        <w:tc>
          <w:tcPr>
            <w:tcW w:w="662"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cs="Calibri"/>
                <w:color w:val="333333"/>
                <w:kern w:val="0"/>
                <w:sz w:val="20"/>
                <w:szCs w:val="20"/>
              </w:rPr>
              <w:t>0</w:t>
            </w:r>
            <w:r>
              <w:rPr>
                <w:rFonts w:cs="Calibri"/>
                <w:color w:val="333333"/>
                <w:kern w:val="0"/>
                <w:sz w:val="20"/>
                <w:szCs w:val="20"/>
              </w:rPr>
              <w:t> </w:t>
            </w:r>
          </w:p>
        </w:tc>
        <w:tc>
          <w:tcPr>
            <w:tcW w:w="420"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cs="Calibri"/>
                <w:color w:val="333333"/>
                <w:kern w:val="0"/>
                <w:sz w:val="20"/>
                <w:szCs w:val="20"/>
              </w:rPr>
              <w:t>0</w:t>
            </w:r>
            <w:r>
              <w:rPr>
                <w:rFonts w:cs="Calibri"/>
                <w:color w:val="333333"/>
                <w:kern w:val="0"/>
                <w:sz w:val="20"/>
                <w:szCs w:val="20"/>
              </w:rPr>
              <w:t> </w:t>
            </w:r>
          </w:p>
        </w:tc>
        <w:tc>
          <w:tcPr>
            <w:tcW w:w="352" w:type="dxa"/>
            <w:tcBorders>
              <w:top w:val="nil"/>
              <w:left w:val="nil"/>
              <w:bottom w:val="single" w:color="auto" w:sz="8" w:space="0"/>
              <w:right w:val="single" w:color="auto" w:sz="8" w:space="0"/>
            </w:tcBorders>
            <w:shd w:val="clear" w:color="auto" w:fill="auto"/>
          </w:tcPr>
          <w:p>
            <w:pPr>
              <w:widowControl/>
              <w:spacing w:line="24" w:lineRule="atLeast"/>
              <w:jc w:val="center"/>
            </w:pPr>
            <w:r>
              <w:rPr>
                <w:rFonts w:hint="eastAsia" w:cs="Calibri"/>
                <w:color w:val="333333"/>
                <w:kern w:val="0"/>
                <w:sz w:val="20"/>
                <w:szCs w:val="20"/>
              </w:rPr>
              <w:t>0</w:t>
            </w:r>
            <w:r>
              <w:rPr>
                <w:rFonts w:cs="Calibri"/>
                <w:color w:val="333333"/>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734" w:type="dxa"/>
            <w:gridSpan w:val="3"/>
            <w:tcBorders>
              <w:top w:val="nil"/>
              <w:left w:val="single" w:color="auto" w:sz="8" w:space="0"/>
              <w:bottom w:val="single" w:color="auto" w:sz="8" w:space="0"/>
              <w:right w:val="single" w:color="auto" w:sz="8" w:space="0"/>
            </w:tcBorders>
            <w:shd w:val="clear" w:color="auto" w:fill="auto"/>
            <w:vAlign w:val="center"/>
          </w:tcPr>
          <w:p>
            <w:pPr>
              <w:widowControl/>
              <w:spacing w:line="24" w:lineRule="atLeast"/>
              <w:jc w:val="left"/>
            </w:pPr>
            <w:r>
              <w:rPr>
                <w:rFonts w:hint="eastAsia" w:ascii="宋体" w:hAnsi="宋体"/>
                <w:color w:val="333333"/>
                <w:kern w:val="0"/>
                <w:sz w:val="20"/>
                <w:szCs w:val="20"/>
              </w:rPr>
              <w:t>四、结转下年度继续办理</w:t>
            </w:r>
          </w:p>
        </w:tc>
        <w:tc>
          <w:tcPr>
            <w:tcW w:w="807"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9"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548"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21"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662"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cs="Calibri"/>
                <w:color w:val="333333"/>
                <w:kern w:val="0"/>
                <w:sz w:val="20"/>
                <w:szCs w:val="20"/>
              </w:rPr>
              <w:t> </w:t>
            </w:r>
            <w:r>
              <w:rPr>
                <w:rFonts w:hint="eastAsia" w:cs="Calibri"/>
                <w:color w:val="333333"/>
                <w:kern w:val="0"/>
                <w:sz w:val="20"/>
                <w:szCs w:val="20"/>
              </w:rPr>
              <w:t>0</w:t>
            </w:r>
          </w:p>
        </w:tc>
        <w:tc>
          <w:tcPr>
            <w:tcW w:w="420" w:type="dxa"/>
            <w:tcBorders>
              <w:top w:val="nil"/>
              <w:left w:val="nil"/>
              <w:bottom w:val="single" w:color="auto" w:sz="8" w:space="0"/>
              <w:right w:val="single" w:color="auto" w:sz="8" w:space="0"/>
            </w:tcBorders>
            <w:shd w:val="clear" w:color="auto" w:fill="auto"/>
            <w:vAlign w:val="center"/>
          </w:tcPr>
          <w:p>
            <w:pPr>
              <w:widowControl/>
              <w:spacing w:line="24" w:lineRule="atLeast"/>
              <w:jc w:val="center"/>
            </w:pPr>
            <w:r>
              <w:rPr>
                <w:rFonts w:hint="eastAsia" w:cs="Calibri"/>
                <w:color w:val="333333"/>
                <w:kern w:val="0"/>
                <w:sz w:val="20"/>
                <w:szCs w:val="20"/>
              </w:rPr>
              <w:t>0</w:t>
            </w:r>
            <w:r>
              <w:rPr>
                <w:rFonts w:cs="Calibri"/>
                <w:color w:val="333333"/>
                <w:kern w:val="0"/>
                <w:sz w:val="20"/>
                <w:szCs w:val="20"/>
              </w:rPr>
              <w:t> </w:t>
            </w:r>
          </w:p>
        </w:tc>
        <w:tc>
          <w:tcPr>
            <w:tcW w:w="352" w:type="dxa"/>
            <w:tcBorders>
              <w:top w:val="nil"/>
              <w:left w:val="nil"/>
              <w:bottom w:val="single" w:color="auto" w:sz="8" w:space="0"/>
              <w:right w:val="single" w:color="auto" w:sz="8" w:space="0"/>
            </w:tcBorders>
            <w:shd w:val="clear" w:color="auto" w:fill="auto"/>
          </w:tcPr>
          <w:p>
            <w:pPr>
              <w:jc w:val="left"/>
              <w:rPr>
                <w:rFonts w:ascii="宋体" w:hAnsi="宋体"/>
                <w:color w:val="333333"/>
                <w:sz w:val="16"/>
                <w:szCs w:val="16"/>
              </w:rPr>
            </w:pPr>
            <w:r>
              <w:rPr>
                <w:rFonts w:hint="eastAsia" w:ascii="宋体" w:hAnsi="宋体"/>
                <w:color w:val="333333"/>
                <w:sz w:val="16"/>
                <w:szCs w:val="16"/>
              </w:rPr>
              <w:t>0</w:t>
            </w:r>
          </w:p>
        </w:tc>
      </w:tr>
    </w:tbl>
    <w:p>
      <w:pPr>
        <w:pStyle w:val="4"/>
        <w:widowControl/>
        <w:spacing w:line="432" w:lineRule="auto"/>
        <w:ind w:firstLine="420"/>
        <w:jc w:val="both"/>
        <w:rPr>
          <w:rFonts w:ascii="黑体" w:hAnsi="黑体" w:eastAsia="黑体" w:cs="黑体"/>
          <w:sz w:val="32"/>
          <w:szCs w:val="32"/>
        </w:rPr>
      </w:pPr>
      <w:r>
        <w:rPr>
          <w:rFonts w:hint="eastAsia" w:ascii="黑体" w:hAnsi="黑体" w:eastAsia="黑体" w:cs="黑体"/>
          <w:color w:val="333333"/>
          <w:sz w:val="32"/>
          <w:szCs w:val="32"/>
        </w:rPr>
        <w:t>四、政府信息公开行政复议、行政诉讼情况</w:t>
      </w:r>
    </w:p>
    <w:tbl>
      <w:tblPr>
        <w:tblStyle w:val="5"/>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661"/>
        <w:gridCol w:w="621"/>
        <w:gridCol w:w="620"/>
        <w:gridCol w:w="476"/>
        <w:gridCol w:w="664"/>
        <w:gridCol w:w="649"/>
        <w:gridCol w:w="650"/>
        <w:gridCol w:w="650"/>
        <w:gridCol w:w="483"/>
        <w:gridCol w:w="672"/>
        <w:gridCol w:w="652"/>
        <w:gridCol w:w="672"/>
        <w:gridCol w:w="662"/>
        <w:gridCol w:w="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 w:lineRule="atLeast"/>
              <w:jc w:val="center"/>
            </w:pPr>
            <w:r>
              <w:rPr>
                <w:rFonts w:hint="eastAsia" w:ascii="宋体" w:hAnsi="宋体"/>
                <w:color w:val="333333"/>
                <w:kern w:val="0"/>
                <w:sz w:val="20"/>
                <w:szCs w:val="20"/>
              </w:rPr>
              <w:t>行政复议</w:t>
            </w:r>
          </w:p>
        </w:tc>
        <w:tc>
          <w:tcPr>
            <w:tcW w:w="6168"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 w:lineRule="atLeast"/>
              <w:jc w:val="center"/>
            </w:pPr>
            <w:r>
              <w:rPr>
                <w:rFonts w:hint="eastAsia" w:ascii="宋体" w:hAnsi="宋体"/>
                <w:color w:val="333333"/>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pPr>
            <w:r>
              <w:rPr>
                <w:rFonts w:hint="eastAsia" w:ascii="宋体" w:hAnsi="宋体"/>
                <w:color w:val="333333"/>
                <w:kern w:val="0"/>
                <w:sz w:val="20"/>
                <w:szCs w:val="20"/>
              </w:rPr>
              <w:t>结果维持</w:t>
            </w:r>
          </w:p>
        </w:tc>
        <w:tc>
          <w:tcPr>
            <w:tcW w:w="661"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pPr>
            <w:r>
              <w:rPr>
                <w:rFonts w:hint="eastAsia" w:ascii="宋体" w:hAnsi="宋体"/>
                <w:color w:val="333333"/>
                <w:kern w:val="0"/>
                <w:sz w:val="20"/>
                <w:szCs w:val="20"/>
              </w:rPr>
              <w:t>结果</w:t>
            </w:r>
            <w:r>
              <w:rPr>
                <w:rFonts w:hint="eastAsia" w:ascii="宋体" w:hAnsi="宋体"/>
                <w:color w:val="333333"/>
                <w:kern w:val="0"/>
                <w:sz w:val="20"/>
                <w:szCs w:val="20"/>
              </w:rPr>
              <w:br w:type="textWrapping"/>
            </w:r>
            <w:r>
              <w:rPr>
                <w:rFonts w:hint="eastAsia" w:ascii="宋体" w:hAnsi="宋体"/>
                <w:color w:val="333333"/>
                <w:kern w:val="0"/>
                <w:sz w:val="20"/>
                <w:szCs w:val="20"/>
              </w:rPr>
              <w:t>纠正</w:t>
            </w:r>
          </w:p>
        </w:tc>
        <w:tc>
          <w:tcPr>
            <w:tcW w:w="6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pPr>
            <w:r>
              <w:rPr>
                <w:rFonts w:hint="eastAsia" w:ascii="宋体" w:hAnsi="宋体"/>
                <w:color w:val="333333"/>
                <w:kern w:val="0"/>
                <w:sz w:val="20"/>
                <w:szCs w:val="20"/>
              </w:rPr>
              <w:t>其他</w:t>
            </w:r>
            <w:r>
              <w:rPr>
                <w:rFonts w:hint="eastAsia" w:ascii="宋体" w:hAnsi="宋体"/>
                <w:color w:val="333333"/>
                <w:kern w:val="0"/>
                <w:sz w:val="20"/>
                <w:szCs w:val="20"/>
              </w:rPr>
              <w:br w:type="textWrapping"/>
            </w:r>
            <w:r>
              <w:rPr>
                <w:rFonts w:hint="eastAsia" w:ascii="宋体" w:hAnsi="宋体"/>
                <w:color w:val="333333"/>
                <w:kern w:val="0"/>
                <w:sz w:val="20"/>
                <w:szCs w:val="20"/>
              </w:rPr>
              <w:t>结果</w:t>
            </w:r>
          </w:p>
        </w:tc>
        <w:tc>
          <w:tcPr>
            <w:tcW w:w="6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pPr>
            <w:r>
              <w:rPr>
                <w:rFonts w:hint="eastAsia" w:ascii="宋体" w:hAnsi="宋体"/>
                <w:color w:val="333333"/>
                <w:kern w:val="0"/>
                <w:sz w:val="20"/>
                <w:szCs w:val="20"/>
              </w:rPr>
              <w:t>尚未</w:t>
            </w:r>
            <w:r>
              <w:rPr>
                <w:rFonts w:hint="eastAsia" w:ascii="宋体" w:hAnsi="宋体"/>
                <w:color w:val="333333"/>
                <w:kern w:val="0"/>
                <w:sz w:val="20"/>
                <w:szCs w:val="20"/>
              </w:rPr>
              <w:br w:type="textWrapping"/>
            </w:r>
            <w:r>
              <w:rPr>
                <w:rFonts w:hint="eastAsia" w:ascii="宋体" w:hAnsi="宋体"/>
                <w:color w:val="333333"/>
                <w:kern w:val="0"/>
                <w:sz w:val="20"/>
                <w:szCs w:val="20"/>
              </w:rPr>
              <w:t>审结</w:t>
            </w:r>
          </w:p>
        </w:tc>
        <w:tc>
          <w:tcPr>
            <w:tcW w:w="4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pPr>
            <w:r>
              <w:rPr>
                <w:rFonts w:hint="eastAsia" w:ascii="宋体" w:hAnsi="宋体"/>
                <w:color w:val="333333"/>
                <w:kern w:val="0"/>
                <w:sz w:val="20"/>
                <w:szCs w:val="20"/>
              </w:rPr>
              <w:t>总计</w:t>
            </w:r>
          </w:p>
        </w:tc>
        <w:tc>
          <w:tcPr>
            <w:tcW w:w="309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pPr>
            <w:r>
              <w:rPr>
                <w:rFonts w:hint="eastAsia" w:ascii="宋体" w:hAnsi="宋体"/>
                <w:color w:val="333333"/>
                <w:kern w:val="0"/>
                <w:sz w:val="20"/>
                <w:szCs w:val="20"/>
              </w:rPr>
              <w:t>未经复议直接起诉</w:t>
            </w:r>
          </w:p>
        </w:tc>
        <w:tc>
          <w:tcPr>
            <w:tcW w:w="307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pPr>
            <w:r>
              <w:rPr>
                <w:rFonts w:hint="eastAsia" w:ascii="宋体" w:hAnsi="宋体"/>
                <w:color w:val="333333"/>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olor w:val="333333"/>
                <w:sz w:val="16"/>
                <w:szCs w:val="16"/>
              </w:rPr>
            </w:pPr>
          </w:p>
        </w:tc>
        <w:tc>
          <w:tcPr>
            <w:tcW w:w="661" w:type="dxa"/>
            <w:vMerge w:val="continue"/>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olor w:val="333333"/>
                <w:sz w:val="16"/>
                <w:szCs w:val="16"/>
              </w:rPr>
            </w:pPr>
          </w:p>
        </w:tc>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olor w:val="333333"/>
                <w:sz w:val="16"/>
                <w:szCs w:val="16"/>
              </w:rPr>
            </w:pPr>
          </w:p>
        </w:tc>
        <w:tc>
          <w:tcPr>
            <w:tcW w:w="6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olor w:val="333333"/>
                <w:sz w:val="16"/>
                <w:szCs w:val="16"/>
              </w:rPr>
            </w:pPr>
          </w:p>
        </w:tc>
        <w:tc>
          <w:tcPr>
            <w:tcW w:w="4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olor w:val="333333"/>
                <w:sz w:val="16"/>
                <w:szCs w:val="16"/>
              </w:rPr>
            </w:pP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pPr>
            <w:r>
              <w:rPr>
                <w:rFonts w:hint="eastAsia" w:ascii="宋体" w:hAnsi="宋体"/>
                <w:color w:val="333333"/>
                <w:kern w:val="0"/>
                <w:sz w:val="20"/>
                <w:szCs w:val="20"/>
              </w:rPr>
              <w:t>结果</w:t>
            </w:r>
            <w:r>
              <w:rPr>
                <w:rFonts w:hint="eastAsia" w:ascii="宋体" w:hAnsi="宋体"/>
                <w:color w:val="333333"/>
                <w:kern w:val="0"/>
                <w:sz w:val="20"/>
                <w:szCs w:val="20"/>
              </w:rPr>
              <w:br w:type="textWrapping"/>
            </w:r>
            <w:r>
              <w:rPr>
                <w:rFonts w:hint="eastAsia" w:ascii="宋体" w:hAnsi="宋体"/>
                <w:color w:val="333333"/>
                <w:kern w:val="0"/>
                <w:sz w:val="20"/>
                <w:szCs w:val="20"/>
              </w:rPr>
              <w:t>维持</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pPr>
            <w:r>
              <w:rPr>
                <w:rFonts w:hint="eastAsia" w:ascii="宋体" w:hAnsi="宋体"/>
                <w:color w:val="333333"/>
                <w:kern w:val="0"/>
                <w:sz w:val="20"/>
                <w:szCs w:val="20"/>
              </w:rPr>
              <w:t>结果</w:t>
            </w:r>
            <w:r>
              <w:rPr>
                <w:rFonts w:hint="eastAsia" w:ascii="宋体" w:hAnsi="宋体"/>
                <w:color w:val="333333"/>
                <w:kern w:val="0"/>
                <w:sz w:val="20"/>
                <w:szCs w:val="20"/>
              </w:rPr>
              <w:br w:type="textWrapping"/>
            </w:r>
            <w:r>
              <w:rPr>
                <w:rFonts w:hint="eastAsia" w:ascii="宋体" w:hAnsi="宋体"/>
                <w:color w:val="333333"/>
                <w:kern w:val="0"/>
                <w:sz w:val="20"/>
                <w:szCs w:val="20"/>
              </w:rPr>
              <w:t>纠正</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pPr>
            <w:r>
              <w:rPr>
                <w:rFonts w:hint="eastAsia" w:ascii="宋体" w:hAnsi="宋体"/>
                <w:color w:val="333333"/>
                <w:kern w:val="0"/>
                <w:sz w:val="20"/>
                <w:szCs w:val="20"/>
              </w:rPr>
              <w:t>其他</w:t>
            </w:r>
            <w:r>
              <w:rPr>
                <w:rFonts w:hint="eastAsia" w:ascii="宋体" w:hAnsi="宋体"/>
                <w:color w:val="333333"/>
                <w:kern w:val="0"/>
                <w:sz w:val="20"/>
                <w:szCs w:val="20"/>
              </w:rPr>
              <w:br w:type="textWrapping"/>
            </w:r>
            <w:r>
              <w:rPr>
                <w:rFonts w:hint="eastAsia" w:ascii="宋体" w:hAnsi="宋体"/>
                <w:color w:val="333333"/>
                <w:kern w:val="0"/>
                <w:sz w:val="20"/>
                <w:szCs w:val="20"/>
              </w:rPr>
              <w:t>结果</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pPr>
            <w:r>
              <w:rPr>
                <w:rFonts w:hint="eastAsia" w:ascii="宋体" w:hAnsi="宋体"/>
                <w:color w:val="333333"/>
                <w:kern w:val="0"/>
                <w:sz w:val="20"/>
                <w:szCs w:val="20"/>
              </w:rPr>
              <w:t>尚未</w:t>
            </w:r>
            <w:r>
              <w:rPr>
                <w:rFonts w:hint="eastAsia" w:ascii="宋体" w:hAnsi="宋体"/>
                <w:color w:val="333333"/>
                <w:kern w:val="0"/>
                <w:sz w:val="20"/>
                <w:szCs w:val="20"/>
              </w:rPr>
              <w:br w:type="textWrapping"/>
            </w:r>
            <w:r>
              <w:rPr>
                <w:rFonts w:hint="eastAsia" w:ascii="宋体" w:hAnsi="宋体"/>
                <w:color w:val="333333"/>
                <w:kern w:val="0"/>
                <w:sz w:val="20"/>
                <w:szCs w:val="20"/>
              </w:rPr>
              <w:t>审结</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pPr>
            <w:r>
              <w:rPr>
                <w:rFonts w:hint="eastAsia" w:ascii="宋体" w:hAnsi="宋体"/>
                <w:color w:val="000000"/>
                <w:kern w:val="0"/>
                <w:sz w:val="20"/>
                <w:szCs w:val="20"/>
              </w:rPr>
              <w:t>总计</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pPr>
            <w:r>
              <w:rPr>
                <w:rFonts w:hint="eastAsia" w:ascii="宋体" w:hAnsi="宋体"/>
                <w:color w:val="333333"/>
                <w:kern w:val="0"/>
                <w:sz w:val="20"/>
                <w:szCs w:val="20"/>
              </w:rPr>
              <w:t>结果</w:t>
            </w:r>
            <w:r>
              <w:rPr>
                <w:rFonts w:hint="eastAsia" w:ascii="宋体" w:hAnsi="宋体"/>
                <w:color w:val="333333"/>
                <w:kern w:val="0"/>
                <w:sz w:val="20"/>
                <w:szCs w:val="20"/>
              </w:rPr>
              <w:br w:type="textWrapping"/>
            </w:r>
            <w:r>
              <w:rPr>
                <w:rFonts w:hint="eastAsia" w:ascii="宋体" w:hAnsi="宋体"/>
                <w:color w:val="333333"/>
                <w:kern w:val="0"/>
                <w:sz w:val="20"/>
                <w:szCs w:val="20"/>
              </w:rPr>
              <w:t>维持</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pPr>
            <w:r>
              <w:rPr>
                <w:rFonts w:hint="eastAsia" w:ascii="宋体" w:hAnsi="宋体"/>
                <w:color w:val="333333"/>
                <w:kern w:val="0"/>
                <w:sz w:val="20"/>
                <w:szCs w:val="20"/>
              </w:rPr>
              <w:t>结果</w:t>
            </w:r>
            <w:r>
              <w:rPr>
                <w:rFonts w:hint="eastAsia" w:ascii="宋体" w:hAnsi="宋体"/>
                <w:color w:val="333333"/>
                <w:kern w:val="0"/>
                <w:sz w:val="20"/>
                <w:szCs w:val="20"/>
              </w:rPr>
              <w:br w:type="textWrapping"/>
            </w:r>
            <w:r>
              <w:rPr>
                <w:rFonts w:hint="eastAsia" w:ascii="宋体" w:hAnsi="宋体"/>
                <w:color w:val="333333"/>
                <w:kern w:val="0"/>
                <w:sz w:val="20"/>
                <w:szCs w:val="20"/>
              </w:rPr>
              <w:t>纠正</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pPr>
            <w:r>
              <w:rPr>
                <w:rFonts w:hint="eastAsia" w:ascii="宋体" w:hAnsi="宋体"/>
                <w:color w:val="000000"/>
                <w:kern w:val="0"/>
                <w:sz w:val="20"/>
                <w:szCs w:val="20"/>
              </w:rPr>
              <w:t>其他</w:t>
            </w:r>
            <w:r>
              <w:rPr>
                <w:rFonts w:hint="eastAsia" w:ascii="宋体" w:hAnsi="宋体"/>
                <w:color w:val="000000"/>
                <w:kern w:val="0"/>
                <w:sz w:val="20"/>
                <w:szCs w:val="20"/>
              </w:rPr>
              <w:br w:type="textWrapping"/>
            </w:r>
            <w:r>
              <w:rPr>
                <w:rFonts w:hint="eastAsia" w:ascii="宋体" w:hAnsi="宋体"/>
                <w:color w:val="000000"/>
                <w:kern w:val="0"/>
                <w:sz w:val="20"/>
                <w:szCs w:val="20"/>
              </w:rPr>
              <w:t>结果</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pPr>
            <w:r>
              <w:rPr>
                <w:rFonts w:hint="eastAsia" w:ascii="宋体" w:hAnsi="宋体"/>
                <w:color w:val="333333"/>
                <w:kern w:val="0"/>
                <w:sz w:val="20"/>
                <w:szCs w:val="20"/>
              </w:rPr>
              <w:t>尚未</w:t>
            </w:r>
            <w:r>
              <w:rPr>
                <w:rFonts w:hint="eastAsia" w:ascii="宋体" w:hAnsi="宋体"/>
                <w:color w:val="333333"/>
                <w:kern w:val="0"/>
                <w:sz w:val="20"/>
                <w:szCs w:val="20"/>
              </w:rPr>
              <w:br w:type="textWrapping"/>
            </w:r>
            <w:r>
              <w:rPr>
                <w:rFonts w:hint="eastAsia" w:ascii="宋体" w:hAnsi="宋体"/>
                <w:color w:val="333333"/>
                <w:kern w:val="0"/>
                <w:sz w:val="20"/>
                <w:szCs w:val="20"/>
              </w:rPr>
              <w:t>审结</w:t>
            </w:r>
          </w:p>
        </w:tc>
        <w:tc>
          <w:tcPr>
            <w:tcW w:w="4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pPr>
            <w:r>
              <w:rPr>
                <w:rFonts w:hint="eastAsia" w:ascii="宋体" w:hAnsi="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 w:lineRule="atLeast"/>
              <w:jc w:val="center"/>
            </w:pPr>
            <w:r>
              <w:rPr>
                <w:rFonts w:ascii="黑体" w:hAnsi="宋体" w:eastAsia="黑体" w:cs="黑体"/>
                <w:color w:val="333333"/>
                <w:sz w:val="20"/>
                <w:szCs w:val="20"/>
              </w:rPr>
              <w:t> </w:t>
            </w:r>
            <w:r>
              <w:rPr>
                <w:rFonts w:hint="eastAsia" w:ascii="黑体" w:hAnsi="宋体" w:eastAsia="黑体" w:cs="黑体"/>
                <w:color w:val="333333"/>
                <w:sz w:val="20"/>
                <w:szCs w:val="20"/>
              </w:rPr>
              <w:t>0</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 w:lineRule="atLeast"/>
              <w:jc w:val="center"/>
            </w:pPr>
            <w:r>
              <w:rPr>
                <w:rFonts w:hint="eastAsia" w:ascii="黑体" w:hAnsi="宋体" w:eastAsia="黑体" w:cs="黑体"/>
                <w:color w:val="333333"/>
                <w:sz w:val="20"/>
                <w:szCs w:val="20"/>
              </w:rPr>
              <w:t> 0</w:t>
            </w:r>
          </w:p>
        </w:tc>
        <w:tc>
          <w:tcPr>
            <w:tcW w:w="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 w:lineRule="atLeast"/>
              <w:jc w:val="center"/>
            </w:pPr>
            <w:r>
              <w:rPr>
                <w:rFonts w:hint="eastAsia" w:ascii="黑体" w:hAnsi="宋体" w:eastAsia="黑体" w:cs="黑体"/>
                <w:color w:val="333333"/>
                <w:sz w:val="20"/>
                <w:szCs w:val="20"/>
              </w:rPr>
              <w:t> 0</w:t>
            </w:r>
          </w:p>
        </w:tc>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 w:lineRule="atLeast"/>
              <w:jc w:val="center"/>
            </w:pPr>
            <w:r>
              <w:rPr>
                <w:rFonts w:hint="eastAsia" w:ascii="黑体" w:hAnsi="宋体" w:eastAsia="黑体" w:cs="黑体"/>
                <w:color w:val="333333"/>
                <w:sz w:val="20"/>
                <w:szCs w:val="20"/>
              </w:rPr>
              <w:t>0 </w:t>
            </w:r>
          </w:p>
        </w:tc>
        <w:tc>
          <w:tcPr>
            <w:tcW w:w="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 w:lineRule="atLeast"/>
              <w:jc w:val="center"/>
            </w:pPr>
            <w:r>
              <w:rPr>
                <w:rFonts w:hint="eastAsia" w:ascii="黑体" w:hAnsi="宋体" w:eastAsia="黑体" w:cs="黑体"/>
                <w:color w:val="333333"/>
                <w:sz w:val="20"/>
                <w:szCs w:val="20"/>
              </w:rPr>
              <w:t>0 </w:t>
            </w:r>
          </w:p>
        </w:tc>
        <w:tc>
          <w:tcPr>
            <w:tcW w:w="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 w:lineRule="atLeast"/>
              <w:jc w:val="center"/>
            </w:pPr>
            <w:r>
              <w:rPr>
                <w:rFonts w:hint="eastAsia" w:ascii="黑体" w:hAnsi="宋体" w:eastAsia="黑体" w:cs="黑体"/>
                <w:color w:val="333333"/>
                <w:sz w:val="20"/>
                <w:szCs w:val="20"/>
              </w:rPr>
              <w:t> 0</w:t>
            </w:r>
          </w:p>
        </w:tc>
        <w:tc>
          <w:tcPr>
            <w:tcW w:w="6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 w:lineRule="atLeast"/>
              <w:jc w:val="center"/>
            </w:pPr>
            <w:r>
              <w:rPr>
                <w:rFonts w:hint="eastAsia" w:ascii="黑体" w:hAnsi="宋体" w:eastAsia="黑体" w:cs="黑体"/>
                <w:color w:val="333333"/>
                <w:sz w:val="20"/>
                <w:szCs w:val="20"/>
              </w:rPr>
              <w:t>0 </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 w:lineRule="atLeast"/>
              <w:jc w:val="center"/>
            </w:pPr>
            <w:r>
              <w:rPr>
                <w:rFonts w:hint="eastAsia" w:ascii="黑体" w:hAnsi="宋体" w:eastAsia="黑体" w:cs="黑体"/>
                <w:color w:val="333333"/>
                <w:sz w:val="20"/>
                <w:szCs w:val="20"/>
              </w:rPr>
              <w:t> 0</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 w:lineRule="atLeast"/>
              <w:jc w:val="center"/>
            </w:pPr>
            <w:r>
              <w:rPr>
                <w:rFonts w:hint="eastAsia" w:ascii="黑体" w:hAnsi="宋体" w:eastAsia="黑体" w:cs="黑体"/>
                <w:color w:val="333333"/>
                <w:sz w:val="20"/>
                <w:szCs w:val="20"/>
              </w:rPr>
              <w:t> 0</w:t>
            </w: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 w:lineRule="atLeast"/>
              <w:jc w:val="center"/>
            </w:pPr>
            <w:r>
              <w:rPr>
                <w:rFonts w:hint="eastAsia" w:ascii="黑体" w:hAnsi="宋体" w:eastAsia="黑体" w:cs="黑体"/>
                <w:color w:val="333333"/>
                <w:sz w:val="20"/>
                <w:szCs w:val="20"/>
              </w:rPr>
              <w:t>0 </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 w:lineRule="atLeast"/>
              <w:jc w:val="center"/>
            </w:pPr>
            <w:r>
              <w:rPr>
                <w:rFonts w:hint="eastAsia" w:ascii="黑体" w:hAnsi="宋体" w:eastAsia="黑体" w:cs="黑体"/>
                <w:color w:val="333333"/>
                <w:sz w:val="20"/>
                <w:szCs w:val="20"/>
              </w:rPr>
              <w:t>0 </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 w:lineRule="atLeast"/>
              <w:jc w:val="center"/>
            </w:pPr>
            <w:r>
              <w:rPr>
                <w:rFonts w:hint="eastAsia" w:ascii="黑体" w:hAnsi="宋体" w:eastAsia="黑体" w:cs="黑体"/>
                <w:color w:val="333333"/>
                <w:sz w:val="20"/>
                <w:szCs w:val="20"/>
              </w:rPr>
              <w:t>0 </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 w:lineRule="atLeast"/>
              <w:jc w:val="center"/>
            </w:pPr>
            <w:r>
              <w:rPr>
                <w:rFonts w:hint="eastAsia" w:ascii="黑体" w:hAnsi="宋体" w:eastAsia="黑体" w:cs="黑体"/>
                <w:color w:val="333333"/>
                <w:sz w:val="20"/>
                <w:szCs w:val="20"/>
              </w:rPr>
              <w:t>0 </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 w:lineRule="atLeast"/>
              <w:jc w:val="center"/>
            </w:pPr>
            <w:r>
              <w:rPr>
                <w:rFonts w:hint="eastAsia" w:ascii="黑体" w:hAnsi="宋体" w:eastAsia="黑体" w:cs="黑体"/>
                <w:color w:val="333333"/>
                <w:sz w:val="20"/>
                <w:szCs w:val="20"/>
              </w:rPr>
              <w:t> 0</w:t>
            </w:r>
          </w:p>
        </w:tc>
        <w:tc>
          <w:tcPr>
            <w:tcW w:w="41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333333"/>
                <w:sz w:val="16"/>
                <w:szCs w:val="16"/>
              </w:rPr>
            </w:pPr>
            <w:r>
              <w:rPr>
                <w:rFonts w:hint="eastAsia" w:ascii="宋体" w:hAnsi="宋体"/>
                <w:color w:val="333333"/>
                <w:sz w:val="16"/>
                <w:szCs w:val="16"/>
              </w:rPr>
              <w:t>0</w:t>
            </w:r>
          </w:p>
        </w:tc>
      </w:tr>
    </w:tbl>
    <w:p>
      <w:pPr>
        <w:widowControl/>
        <w:jc w:val="left"/>
      </w:pPr>
    </w:p>
    <w:p>
      <w:pPr>
        <w:pStyle w:val="4"/>
        <w:widowControl/>
        <w:spacing w:line="432" w:lineRule="auto"/>
        <w:ind w:firstLine="420"/>
        <w:jc w:val="both"/>
        <w:rPr>
          <w:rFonts w:ascii="黑体" w:hAnsi="黑体" w:eastAsia="黑体" w:cs="黑体"/>
          <w:sz w:val="32"/>
          <w:szCs w:val="32"/>
        </w:rPr>
      </w:pPr>
      <w:r>
        <w:rPr>
          <w:rFonts w:hint="eastAsia" w:ascii="黑体" w:hAnsi="黑体" w:eastAsia="黑体" w:cs="黑体"/>
          <w:color w:val="333333"/>
          <w:sz w:val="32"/>
          <w:szCs w:val="32"/>
        </w:rPr>
        <w:t>五、存在的主要问题及改进情况</w:t>
      </w:r>
    </w:p>
    <w:p>
      <w:pPr>
        <w:pStyle w:val="22"/>
        <w:shd w:val="clear" w:color="auto" w:fill="FFFFFF"/>
        <w:spacing w:before="0" w:beforeAutospacing="0" w:after="0" w:afterAutospacing="0"/>
        <w:ind w:firstLine="641"/>
        <w:jc w:val="both"/>
        <w:rPr>
          <w:rFonts w:hint="eastAsia" w:ascii="仿宋" w:hAnsi="仿宋" w:eastAsia="仿宋"/>
          <w:color w:val="666666"/>
          <w:sz w:val="32"/>
          <w:szCs w:val="32"/>
        </w:rPr>
      </w:pPr>
      <w:r>
        <w:rPr>
          <w:rFonts w:hint="eastAsia" w:ascii="仿宋" w:hAnsi="仿宋" w:eastAsia="仿宋"/>
          <w:color w:val="666666"/>
          <w:sz w:val="32"/>
          <w:szCs w:val="32"/>
        </w:rPr>
        <w:t>存在的主要问题是信息公开内容还不够全面，信息公开的时效性把握不及时不到位。</w:t>
      </w:r>
    </w:p>
    <w:p>
      <w:pPr>
        <w:pStyle w:val="22"/>
        <w:shd w:val="clear" w:color="auto" w:fill="FFFFFF"/>
        <w:spacing w:before="0" w:beforeAutospacing="0" w:after="0" w:afterAutospacing="0"/>
        <w:ind w:firstLine="641"/>
        <w:jc w:val="both"/>
        <w:rPr>
          <w:rFonts w:hint="eastAsia" w:ascii="仿宋" w:hAnsi="仿宋" w:eastAsia="仿宋"/>
          <w:color w:val="666666"/>
          <w:sz w:val="32"/>
          <w:szCs w:val="32"/>
        </w:rPr>
      </w:pPr>
      <w:r>
        <w:rPr>
          <w:rFonts w:hint="eastAsia" w:ascii="仿宋" w:hAnsi="仿宋" w:eastAsia="仿宋"/>
          <w:color w:val="666666"/>
          <w:sz w:val="32"/>
          <w:szCs w:val="32"/>
        </w:rPr>
        <w:t>解决办法和改进措施：一是把握好信息公开的时效性，按时收集、编写、报送、公开各类信息，做到信息报送公开及时有效。二是进一步加强对政府信息公开工作的宣传力度和组织相关人员进行培训，加深干部职工对信息公开工作的认识，学习借鉴其他单位的好做法，进一步提高政府信息公开工作水平。三是对原有的政府信息公开目录等内容进行补充完善，及时更新，扩大公开内容，保证公开信息的完整性个准确性，不断创新公开形式，提高信息公开工作的质量和服务水平。四是进一步完善信息管理制度，单位要明确信息管理人员，并进行专门业务知识培训，确保信息报送工作的通畅有序。</w:t>
      </w:r>
    </w:p>
    <w:p>
      <w:pPr>
        <w:pStyle w:val="4"/>
        <w:widowControl/>
        <w:spacing w:line="432" w:lineRule="auto"/>
        <w:ind w:left="420"/>
        <w:jc w:val="both"/>
        <w:rPr>
          <w:rFonts w:ascii="黑体" w:hAnsi="黑体" w:eastAsia="黑体" w:cs="黑体"/>
          <w:color w:val="333333"/>
          <w:sz w:val="32"/>
          <w:szCs w:val="32"/>
        </w:rPr>
      </w:pPr>
      <w:r>
        <w:rPr>
          <w:rFonts w:hint="eastAsia" w:ascii="黑体" w:hAnsi="黑体" w:eastAsia="黑体" w:cs="黑体"/>
          <w:color w:val="333333"/>
          <w:sz w:val="32"/>
          <w:szCs w:val="32"/>
        </w:rPr>
        <w:t>六、其他需要报告的事项</w:t>
      </w:r>
    </w:p>
    <w:p>
      <w:pPr>
        <w:pStyle w:val="4"/>
        <w:widowControl/>
        <w:spacing w:line="432" w:lineRule="auto"/>
        <w:ind w:left="420"/>
        <w:jc w:val="both"/>
        <w:rPr>
          <w:rFonts w:ascii="仿宋" w:hAnsi="仿宋" w:eastAsia="仿宋" w:cs="黑体"/>
          <w:color w:val="333333"/>
          <w:sz w:val="32"/>
          <w:szCs w:val="32"/>
        </w:rPr>
      </w:pPr>
      <w:r>
        <w:rPr>
          <w:rFonts w:hint="eastAsia" w:ascii="仿宋" w:hAnsi="仿宋" w:eastAsia="仿宋" w:cs="黑体"/>
          <w:color w:val="333333"/>
          <w:sz w:val="32"/>
          <w:szCs w:val="32"/>
        </w:rPr>
        <w:t>无。</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p>
    <w:p>
      <w:pPr>
        <w:ind w:firstLine="5600" w:firstLineChars="1750"/>
        <w:rPr>
          <w:rFonts w:ascii="仿宋" w:hAnsi="仿宋" w:eastAsia="仿宋"/>
          <w:sz w:val="32"/>
          <w:szCs w:val="32"/>
        </w:rPr>
      </w:pPr>
      <w:r>
        <w:rPr>
          <w:rFonts w:hint="eastAsia" w:ascii="仿宋" w:hAnsi="仿宋" w:eastAsia="仿宋"/>
          <w:sz w:val="32"/>
          <w:szCs w:val="32"/>
        </w:rPr>
        <w:t>保德县交通运输局</w:t>
      </w:r>
    </w:p>
    <w:p>
      <w:pPr>
        <w:ind w:firstLine="5760" w:firstLineChars="1800"/>
        <w:rPr>
          <w:rFonts w:ascii="仿宋" w:hAnsi="仿宋" w:eastAsia="仿宋"/>
          <w:sz w:val="32"/>
          <w:szCs w:val="32"/>
        </w:rPr>
      </w:pPr>
      <w:r>
        <w:rPr>
          <w:rFonts w:hint="eastAsia" w:ascii="仿宋" w:hAnsi="仿宋" w:eastAsia="仿宋"/>
          <w:sz w:val="32"/>
          <w:szCs w:val="32"/>
        </w:rPr>
        <w:t>2024年1月17日</w:t>
      </w:r>
    </w:p>
    <w:sectPr>
      <w:footerReference r:id="rId3" w:type="default"/>
      <w:pgSz w:w="11906" w:h="16838"/>
      <w:pgMar w:top="2098" w:right="1588" w:bottom="204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2C9431D-35D4-4340-93D9-5A773697F79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CC499CB-143F-4480-92D4-6C58348DEA6B}"/>
  </w:font>
  <w:font w:name="Courier New">
    <w:panose1 w:val="02070309020205020404"/>
    <w:charset w:val="00"/>
    <w:family w:val="modern"/>
    <w:pitch w:val="default"/>
    <w:sig w:usb0="E0002AFF" w:usb1="C0007843" w:usb2="00000009" w:usb3="00000000" w:csb0="400001FF" w:csb1="FFFF0000"/>
  </w:font>
  <w:font w:name="方正粗黑宋简体">
    <w:panose1 w:val="02000000000000000000"/>
    <w:charset w:val="86"/>
    <w:family w:val="auto"/>
    <w:pitch w:val="default"/>
    <w:sig w:usb0="A00002BF" w:usb1="184F6CFA" w:usb2="00000012" w:usb3="00000000" w:csb0="00040001" w:csb1="00000000"/>
    <w:embedRegular r:id="rId3" w:fontKey="{4DEAFBAB-FE0F-47D2-B444-ABE5E976C2A1}"/>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4" w:fontKey="{388D4D1C-7C34-4EA1-AE2C-CE7C6A2720AE}"/>
  </w:font>
  <w:font w:name="Arial">
    <w:panose1 w:val="020B0604020202020204"/>
    <w:charset w:val="00"/>
    <w:family w:val="swiss"/>
    <w:pitch w:val="default"/>
    <w:sig w:usb0="E0002AFF" w:usb1="C0007843" w:usb2="00000009" w:usb3="00000000" w:csb0="400001FF" w:csb1="FFFF0000"/>
    <w:embedRegular r:id="rId5" w:fontKey="{EE0F1F9C-CB35-406A-8F45-62253BF29B23}"/>
  </w:font>
  <w:font w:name="楷体">
    <w:panose1 w:val="02010609060101010101"/>
    <w:charset w:val="86"/>
    <w:family w:val="modern"/>
    <w:pitch w:val="default"/>
    <w:sig w:usb0="800002BF" w:usb1="38CF7CFA" w:usb2="00000016" w:usb3="00000000" w:csb0="00040001" w:csb1="00000000"/>
    <w:embedRegular r:id="rId6" w:fontKey="{DFA9CC84-5FF7-43D8-B9A2-808AE3E0DC72}"/>
  </w:font>
  <w:font w:name="Arial Unicode MS">
    <w:panose1 w:val="020B0604020202020204"/>
    <w:charset w:val="86"/>
    <w:family w:val="auto"/>
    <w:pitch w:val="default"/>
    <w:sig w:usb0="FFFFFFFF" w:usb1="E9FFFFFF" w:usb2="0000003F" w:usb3="00000000" w:csb0="603F01FF" w:csb1="FFFF0000"/>
    <w:embedRegular r:id="rId7" w:fontKey="{04148648-A224-4683-B8B8-C12985A22C9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- 3 -</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FiMTFmYzdjMTg5OWVmY2IxNjI1ODNhYjZmNThlMDUifQ=="/>
  </w:docVars>
  <w:rsids>
    <w:rsidRoot w:val="002260B8"/>
    <w:rsid w:val="00054E88"/>
    <w:rsid w:val="00064929"/>
    <w:rsid w:val="000B3FF2"/>
    <w:rsid w:val="000B5343"/>
    <w:rsid w:val="001012ED"/>
    <w:rsid w:val="00134689"/>
    <w:rsid w:val="00195B82"/>
    <w:rsid w:val="001A2137"/>
    <w:rsid w:val="002260B8"/>
    <w:rsid w:val="002F6E36"/>
    <w:rsid w:val="0033247C"/>
    <w:rsid w:val="00343DC7"/>
    <w:rsid w:val="00346038"/>
    <w:rsid w:val="003507C3"/>
    <w:rsid w:val="003729A2"/>
    <w:rsid w:val="003849BB"/>
    <w:rsid w:val="004344BE"/>
    <w:rsid w:val="00444EC2"/>
    <w:rsid w:val="0045549D"/>
    <w:rsid w:val="00487F9E"/>
    <w:rsid w:val="004A79EA"/>
    <w:rsid w:val="004D7845"/>
    <w:rsid w:val="004F3385"/>
    <w:rsid w:val="00506ACC"/>
    <w:rsid w:val="0057053E"/>
    <w:rsid w:val="005832E4"/>
    <w:rsid w:val="00585AE9"/>
    <w:rsid w:val="005B19EA"/>
    <w:rsid w:val="005B79C4"/>
    <w:rsid w:val="005C7AEB"/>
    <w:rsid w:val="005E2D12"/>
    <w:rsid w:val="005F4160"/>
    <w:rsid w:val="00647FC6"/>
    <w:rsid w:val="0067533B"/>
    <w:rsid w:val="006A1A61"/>
    <w:rsid w:val="006B38CD"/>
    <w:rsid w:val="006D27F3"/>
    <w:rsid w:val="006E57D5"/>
    <w:rsid w:val="006F0D71"/>
    <w:rsid w:val="007265D1"/>
    <w:rsid w:val="00733C56"/>
    <w:rsid w:val="00744141"/>
    <w:rsid w:val="0077104E"/>
    <w:rsid w:val="00774C84"/>
    <w:rsid w:val="007939B1"/>
    <w:rsid w:val="007E65FA"/>
    <w:rsid w:val="0087647E"/>
    <w:rsid w:val="008C18D8"/>
    <w:rsid w:val="008C4267"/>
    <w:rsid w:val="00A66079"/>
    <w:rsid w:val="00A8660D"/>
    <w:rsid w:val="00AC6653"/>
    <w:rsid w:val="00AE2D9A"/>
    <w:rsid w:val="00AF4272"/>
    <w:rsid w:val="00B5431E"/>
    <w:rsid w:val="00B57C26"/>
    <w:rsid w:val="00B91927"/>
    <w:rsid w:val="00BB6EE3"/>
    <w:rsid w:val="00BC3659"/>
    <w:rsid w:val="00C57F4F"/>
    <w:rsid w:val="00C71AAF"/>
    <w:rsid w:val="00CA23D8"/>
    <w:rsid w:val="00CB69FD"/>
    <w:rsid w:val="00D0689B"/>
    <w:rsid w:val="00D809CB"/>
    <w:rsid w:val="00DA6C58"/>
    <w:rsid w:val="00E234C3"/>
    <w:rsid w:val="00E4433B"/>
    <w:rsid w:val="00E55F86"/>
    <w:rsid w:val="00E62014"/>
    <w:rsid w:val="00E636A0"/>
    <w:rsid w:val="00EA1FD5"/>
    <w:rsid w:val="00EC13E9"/>
    <w:rsid w:val="00EE7413"/>
    <w:rsid w:val="00F074AA"/>
    <w:rsid w:val="00F10E43"/>
    <w:rsid w:val="00FB122E"/>
    <w:rsid w:val="00FC04DB"/>
    <w:rsid w:val="00FD0FC4"/>
    <w:rsid w:val="00FD3B5C"/>
    <w:rsid w:val="00FF161D"/>
    <w:rsid w:val="386E450E"/>
    <w:rsid w:val="657618E2"/>
    <w:rsid w:val="731C2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autoRedefine/>
    <w:qFormat/>
    <w:uiPriority w:val="0"/>
    <w:pPr>
      <w:jc w:val="left"/>
    </w:pPr>
    <w:rPr>
      <w:kern w:val="0"/>
      <w:sz w:val="24"/>
    </w:rPr>
  </w:style>
  <w:style w:type="character" w:styleId="7">
    <w:name w:val="FollowedHyperlink"/>
    <w:basedOn w:val="6"/>
    <w:autoRedefine/>
    <w:qFormat/>
    <w:uiPriority w:val="0"/>
    <w:rPr>
      <w:color w:val="000000"/>
      <w:u w:val="none"/>
    </w:rPr>
  </w:style>
  <w:style w:type="character" w:styleId="8">
    <w:name w:val="Hyperlink"/>
    <w:basedOn w:val="6"/>
    <w:autoRedefine/>
    <w:qFormat/>
    <w:uiPriority w:val="0"/>
    <w:rPr>
      <w:color w:val="000000"/>
      <w:u w:val="none"/>
    </w:rPr>
  </w:style>
  <w:style w:type="character" w:styleId="9">
    <w:name w:val="HTML Code"/>
    <w:basedOn w:val="6"/>
    <w:autoRedefine/>
    <w:qFormat/>
    <w:uiPriority w:val="0"/>
    <w:rPr>
      <w:rFonts w:ascii="Courier New" w:hAnsi="Courier New"/>
      <w:sz w:val="20"/>
    </w:rPr>
  </w:style>
  <w:style w:type="character" w:customStyle="1" w:styleId="10">
    <w:name w:val="m01"/>
    <w:basedOn w:val="6"/>
    <w:qFormat/>
    <w:uiPriority w:val="0"/>
  </w:style>
  <w:style w:type="character" w:customStyle="1" w:styleId="11">
    <w:name w:val="m011"/>
    <w:basedOn w:val="6"/>
    <w:autoRedefine/>
    <w:qFormat/>
    <w:uiPriority w:val="0"/>
  </w:style>
  <w:style w:type="character" w:customStyle="1" w:styleId="12">
    <w:name w:val="more"/>
    <w:basedOn w:val="6"/>
    <w:qFormat/>
    <w:uiPriority w:val="0"/>
    <w:rPr>
      <w:color w:val="666666"/>
      <w:sz w:val="14"/>
      <w:szCs w:val="14"/>
    </w:rPr>
  </w:style>
  <w:style w:type="character" w:customStyle="1" w:styleId="13">
    <w:name w:val="bg02"/>
    <w:basedOn w:val="6"/>
    <w:autoRedefine/>
    <w:qFormat/>
    <w:uiPriority w:val="0"/>
  </w:style>
  <w:style w:type="character" w:customStyle="1" w:styleId="14">
    <w:name w:val="name"/>
    <w:basedOn w:val="6"/>
    <w:autoRedefine/>
    <w:qFormat/>
    <w:uiPriority w:val="0"/>
    <w:rPr>
      <w:color w:val="6A6A6A"/>
      <w:u w:val="single"/>
    </w:rPr>
  </w:style>
  <w:style w:type="character" w:customStyle="1" w:styleId="15">
    <w:name w:val="dates"/>
    <w:basedOn w:val="6"/>
    <w:autoRedefine/>
    <w:qFormat/>
    <w:uiPriority w:val="0"/>
  </w:style>
  <w:style w:type="character" w:customStyle="1" w:styleId="16">
    <w:name w:val="laypage_curr"/>
    <w:basedOn w:val="6"/>
    <w:qFormat/>
    <w:uiPriority w:val="0"/>
    <w:rPr>
      <w:color w:val="FFFDF4"/>
      <w:shd w:val="clear" w:color="auto" w:fill="0B67A6"/>
    </w:rPr>
  </w:style>
  <w:style w:type="character" w:customStyle="1" w:styleId="17">
    <w:name w:val="tabg"/>
    <w:basedOn w:val="6"/>
    <w:autoRedefine/>
    <w:qFormat/>
    <w:uiPriority w:val="0"/>
    <w:rPr>
      <w:color w:val="FFFFFF"/>
      <w:sz w:val="21"/>
      <w:szCs w:val="21"/>
    </w:rPr>
  </w:style>
  <w:style w:type="character" w:customStyle="1" w:styleId="18">
    <w:name w:val="bg01"/>
    <w:basedOn w:val="6"/>
    <w:autoRedefine/>
    <w:qFormat/>
    <w:uiPriority w:val="0"/>
  </w:style>
  <w:style w:type="character" w:customStyle="1" w:styleId="19">
    <w:name w:val="hover18"/>
    <w:basedOn w:val="6"/>
    <w:autoRedefine/>
    <w:qFormat/>
    <w:uiPriority w:val="0"/>
    <w:rPr>
      <w:color w:val="015293"/>
    </w:rPr>
  </w:style>
  <w:style w:type="character" w:customStyle="1" w:styleId="20">
    <w:name w:val="font2"/>
    <w:basedOn w:val="6"/>
    <w:autoRedefine/>
    <w:qFormat/>
    <w:uiPriority w:val="0"/>
  </w:style>
  <w:style w:type="character" w:customStyle="1" w:styleId="21">
    <w:name w:val="font3"/>
    <w:basedOn w:val="6"/>
    <w:autoRedefine/>
    <w:qFormat/>
    <w:uiPriority w:val="0"/>
  </w:style>
  <w:style w:type="paragraph" w:customStyle="1" w:styleId="22">
    <w:name w:val="cjk"/>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327</Words>
  <Characters>1867</Characters>
  <Lines>15</Lines>
  <Paragraphs>4</Paragraphs>
  <TotalTime>92</TotalTime>
  <ScaleCrop>false</ScaleCrop>
  <LinksUpToDate>false</LinksUpToDate>
  <CharactersWithSpaces>2190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2022-01-18T08:18:00Z</dcterms:created>
  <dc:creator>Administrator</dc:creator>
  <cp:lastModifiedBy>Administrator</cp:lastModifiedBy>
  <cp:lastPrinted>2023-01-17T10:03:00Z</cp:lastPrinted>
  <dcterms:modified xsi:type="dcterms:W3CDTF">2024-02-06T08:50:28Z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F4D87886B0774C5F8E81543432A5DFCF</vt:lpwstr>
  </property>
</Properties>
</file>