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6"/>
          <w:szCs w:val="36"/>
          <w:lang w:eastAsia="zh-CN"/>
        </w:rPr>
      </w:pPr>
    </w:p>
    <w:p>
      <w:pPr>
        <w:pStyle w:val="5"/>
        <w:keepNext w:val="0"/>
        <w:keepLines w:val="0"/>
        <w:widowControl/>
        <w:suppressLineNumbers w:val="0"/>
        <w:spacing w:before="0" w:beforeAutospacing="0" w:after="0" w:afterAutospacing="0" w:line="432" w:lineRule="auto"/>
        <w:jc w:val="center"/>
        <w:rPr>
          <w:rFonts w:hint="eastAsia" w:ascii="方正小标宋_GBK" w:hAnsi="方正小标宋_GBK" w:eastAsia="方正小标宋_GBK" w:cs="方正小标宋_GBK"/>
          <w:b/>
          <w:bCs/>
          <w:color w:val="333333"/>
          <w:sz w:val="44"/>
          <w:szCs w:val="44"/>
          <w:lang w:val="en-US" w:eastAsia="zh-CN"/>
        </w:rPr>
      </w:pPr>
      <w:r>
        <w:rPr>
          <w:rFonts w:hint="eastAsia" w:ascii="方正小标宋_GBK" w:hAnsi="方正小标宋_GBK" w:eastAsia="方正小标宋_GBK" w:cs="方正小标宋_GBK"/>
          <w:b/>
          <w:bCs/>
          <w:color w:val="333333"/>
          <w:sz w:val="44"/>
          <w:szCs w:val="44"/>
          <w:lang w:val="en-US" w:eastAsia="zh-CN"/>
        </w:rPr>
        <w:t>2022年保德县审计局政府信息公开</w:t>
      </w:r>
    </w:p>
    <w:p>
      <w:pPr>
        <w:pStyle w:val="5"/>
        <w:keepNext w:val="0"/>
        <w:keepLines w:val="0"/>
        <w:widowControl/>
        <w:suppressLineNumbers w:val="0"/>
        <w:spacing w:before="0" w:beforeAutospacing="0" w:after="0" w:afterAutospacing="0" w:line="432"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color w:val="333333"/>
          <w:sz w:val="44"/>
          <w:szCs w:val="44"/>
          <w:lang w:val="en-US" w:eastAsia="zh-CN"/>
        </w:rPr>
        <w:t>年度报告</w:t>
      </w:r>
    </w:p>
    <w:p>
      <w:pPr>
        <w:pStyle w:val="5"/>
        <w:keepNext w:val="0"/>
        <w:keepLines w:val="0"/>
        <w:widowControl/>
        <w:suppressLineNumbers w:val="0"/>
        <w:spacing w:before="0" w:beforeAutospacing="0" w:after="0" w:afterAutospacing="0" w:line="432" w:lineRule="auto"/>
        <w:ind w:firstLine="640" w:firstLineChars="200"/>
        <w:jc w:val="both"/>
        <w:rPr>
          <w:rFonts w:hint="eastAsia" w:ascii="仿宋" w:hAnsi="仿宋" w:eastAsia="仿宋" w:cs="仿宋"/>
          <w:b w:val="0"/>
          <w:bCs/>
          <w:sz w:val="32"/>
          <w:szCs w:val="32"/>
        </w:rPr>
      </w:pPr>
      <w:r>
        <w:rPr>
          <w:rFonts w:hint="eastAsia" w:ascii="黑体" w:hAnsi="黑体" w:eastAsia="黑体" w:cs="黑体"/>
          <w:b w:val="0"/>
          <w:bCs/>
          <w:color w:val="333333"/>
          <w:sz w:val="32"/>
          <w:szCs w:val="32"/>
        </w:rPr>
        <w:t>一、总体情况</w:t>
      </w:r>
    </w:p>
    <w:p>
      <w:pPr>
        <w:pStyle w:val="5"/>
        <w:keepNext w:val="0"/>
        <w:keepLines w:val="0"/>
        <w:widowControl/>
        <w:suppressLineNumbers w:val="0"/>
        <w:spacing w:before="0" w:beforeAutospacing="0" w:after="0" w:afterAutospacing="0" w:line="432" w:lineRule="auto"/>
        <w:ind w:firstLine="640" w:firstLineChars="20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2022年，我局高度重视政府信息公开工作，深入贯彻落实《中华人民共和国政府信息公开条例》，紧紧围绕县委县政府中心工作及群众关注关心的问题，全面推进决策公开、执行公开、管理公开、服务公开、结果公开，不断完善政务公开工作机制，切实狠抓政府信息公开各项制度落实，全力提升保障人民群众知情权、参与权和监督权的能力水平，不断推动政府信息公开工作取得新成效。</w:t>
      </w:r>
    </w:p>
    <w:p>
      <w:pPr>
        <w:pStyle w:val="5"/>
        <w:keepNext w:val="0"/>
        <w:keepLines w:val="0"/>
        <w:widowControl/>
        <w:suppressLineNumbers w:val="0"/>
        <w:spacing w:before="0" w:beforeAutospacing="0" w:after="0" w:afterAutospacing="0" w:line="432" w:lineRule="auto"/>
        <w:ind w:firstLine="640" w:firstLineChars="200"/>
        <w:jc w:val="both"/>
        <w:rPr>
          <w:rFonts w:hint="eastAsia" w:ascii="黑体" w:hAnsi="黑体" w:eastAsia="黑体" w:cs="黑体"/>
          <w:b w:val="0"/>
          <w:bCs/>
        </w:rPr>
      </w:pPr>
      <w:r>
        <w:rPr>
          <w:rFonts w:hint="eastAsia" w:ascii="黑体" w:hAnsi="黑体" w:eastAsia="黑体" w:cs="黑体"/>
          <w:b w:val="0"/>
          <w:bCs/>
          <w:color w:val="333333"/>
          <w:sz w:val="32"/>
          <w:szCs w:val="32"/>
        </w:rPr>
        <w:t>二、主动公开政府信息情况</w:t>
      </w: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本年</w:t>
            </w:r>
            <w:r>
              <w:rPr>
                <w:rFonts w:hint="eastAsia" w:ascii="仿宋" w:hAnsi="仿宋" w:eastAsia="仿宋" w:cs="仿宋"/>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现行有效件</w:t>
            </w:r>
            <w:r>
              <w:rPr>
                <w:rFonts w:hint="eastAsia" w:ascii="仿宋" w:hAnsi="仿宋" w:eastAsia="仿宋" w:cs="仿宋"/>
                <w:color w:val="333333"/>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333333"/>
                <w:kern w:val="2"/>
                <w:sz w:val="21"/>
                <w:szCs w:val="21"/>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333333"/>
                <w:kern w:val="2"/>
                <w:sz w:val="21"/>
                <w:szCs w:val="21"/>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0000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333333"/>
                <w:kern w:val="2"/>
                <w:sz w:val="21"/>
                <w:szCs w:val="21"/>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lang w:val="en-US"/>
              </w:rPr>
            </w:pPr>
            <w:r>
              <w:rPr>
                <w:rFonts w:hint="eastAsia" w:ascii="仿宋" w:hAnsi="仿宋" w:eastAsia="仿宋" w:cs="仿宋"/>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仿宋" w:hAnsi="仿宋" w:eastAsia="仿宋" w:cs="仿宋"/>
                <w:color w:val="333333"/>
                <w:sz w:val="21"/>
                <w:szCs w:val="21"/>
                <w:lang w:val="en-US" w:eastAsia="zh-CN"/>
              </w:rPr>
            </w:pPr>
            <w:r>
              <w:rPr>
                <w:rFonts w:hint="eastAsia" w:ascii="仿宋" w:hAnsi="仿宋" w:eastAsia="仿宋" w:cs="仿宋"/>
                <w:color w:val="333333"/>
                <w:sz w:val="21"/>
                <w:szCs w:val="21"/>
                <w:lang w:val="en-US" w:eastAsia="zh-CN"/>
              </w:rPr>
              <w:t>0</w:t>
            </w:r>
          </w:p>
        </w:tc>
      </w:tr>
    </w:tbl>
    <w:p>
      <w:pPr>
        <w:pStyle w:val="5"/>
        <w:keepNext w:val="0"/>
        <w:keepLines w:val="0"/>
        <w:widowControl/>
        <w:suppressLineNumbers w:val="0"/>
        <w:spacing w:before="0" w:beforeAutospacing="0" w:after="0" w:afterAutospacing="0" w:line="432" w:lineRule="auto"/>
        <w:ind w:firstLine="320" w:firstLineChars="100"/>
        <w:jc w:val="both"/>
        <w:rPr>
          <w:rFonts w:hint="eastAsia" w:ascii="仿宋" w:hAnsi="仿宋" w:eastAsia="仿宋" w:cs="仿宋"/>
          <w:b w:val="0"/>
          <w:bCs/>
        </w:rPr>
      </w:pPr>
      <w:r>
        <w:rPr>
          <w:rFonts w:hint="eastAsia" w:ascii="黑体" w:hAnsi="黑体" w:eastAsia="黑体" w:cs="黑体"/>
          <w:b w:val="0"/>
          <w:bCs/>
          <w:color w:val="333333"/>
          <w:sz w:val="32"/>
          <w:szCs w:val="32"/>
        </w:rPr>
        <w:t>三、收到和处理政府信息公开申请情况</w:t>
      </w:r>
    </w:p>
    <w:tbl>
      <w:tblPr>
        <w:tblStyle w:val="6"/>
        <w:tblW w:w="974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（本列数据的勾稽关系为：第一项加第二项之和，等于第三项加第四项之和）</w:t>
            </w:r>
          </w:p>
        </w:tc>
        <w:tc>
          <w:tcPr>
            <w:tcW w:w="4795"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仿宋" w:hAnsi="仿宋" w:eastAsia="仿宋" w:cs="仿宋"/>
                <w:color w:val="333333"/>
                <w:sz w:val="21"/>
                <w:szCs w:val="21"/>
              </w:rPr>
            </w:pPr>
          </w:p>
        </w:tc>
        <w:tc>
          <w:tcPr>
            <w:tcW w:w="685"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自然人</w:t>
            </w:r>
          </w:p>
        </w:tc>
        <w:tc>
          <w:tcPr>
            <w:tcW w:w="3425"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法人或其他组织</w:t>
            </w:r>
          </w:p>
        </w:tc>
        <w:tc>
          <w:tcPr>
            <w:tcW w:w="685"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仿宋" w:hAnsi="仿宋" w:eastAsia="仿宋" w:cs="仿宋"/>
                <w:color w:val="333333"/>
                <w:sz w:val="21"/>
                <w:szCs w:val="21"/>
              </w:rPr>
            </w:pPr>
          </w:p>
        </w:tc>
        <w:tc>
          <w:tcPr>
            <w:tcW w:w="685"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企业</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其他</w:t>
            </w:r>
          </w:p>
        </w:tc>
        <w:tc>
          <w:tcPr>
            <w:tcW w:w="685"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三、本年度办理结果</w:t>
            </w: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（二）部分公开（区分处理的，只计这一情形，不计其他情形）</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仿宋" w:hAnsi="仿宋" w:eastAsia="仿宋" w:cs="仿宋"/>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（三）不予公开</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353" w:hRule="atLeast"/>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（四）无法提供</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（五）不予处理</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2.重复申请</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3.要求提供公开出版物</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4.无正当理由大量反复申请</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仿宋" w:hAnsi="仿宋" w:eastAsia="仿宋" w:cs="仿宋"/>
              </w:rPr>
            </w:pPr>
            <w:r>
              <w:rPr>
                <w:rFonts w:hint="eastAsia" w:ascii="仿宋" w:hAnsi="仿宋" w:eastAsia="仿宋" w:cs="仿宋"/>
                <w:color w:val="333333"/>
                <w:kern w:val="0"/>
                <w:sz w:val="20"/>
                <w:szCs w:val="20"/>
                <w:lang w:val="en-US" w:eastAsia="zh-CN" w:bidi="ar"/>
              </w:rPr>
              <w:t>5.要求行政机关确认或重新出具已获取信息</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firstLine="210" w:firstLineChars="100"/>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（六）其他处理</w:t>
            </w: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仿宋" w:hAnsi="仿宋" w:eastAsia="仿宋" w:cs="仿宋"/>
              </w:rPr>
            </w:pPr>
            <w:r>
              <w:rPr>
                <w:rFonts w:hint="eastAsia" w:ascii="仿宋" w:hAnsi="仿宋" w:eastAsia="仿宋" w:cs="仿宋"/>
                <w:color w:val="333333"/>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仿宋" w:hAnsi="仿宋" w:eastAsia="仿宋" w:cs="仿宋"/>
              </w:rPr>
            </w:pPr>
            <w:r>
              <w:rPr>
                <w:rFonts w:hint="eastAsia" w:ascii="仿宋" w:hAnsi="仿宋" w:eastAsia="仿宋" w:cs="仿宋"/>
                <w:color w:val="333333"/>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eastAsia="zh-CN"/>
              </w:rPr>
            </w:pPr>
            <w:r>
              <w:rPr>
                <w:rFonts w:hint="eastAsia" w:ascii="仿宋" w:hAnsi="仿宋" w:eastAsia="仿宋" w:cs="仿宋"/>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921"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仿宋" w:hAnsi="仿宋" w:eastAsia="仿宋" w:cs="仿宋"/>
                <w:color w:val="333333"/>
                <w:sz w:val="21"/>
                <w:szCs w:val="21"/>
              </w:rPr>
            </w:pP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284" w:hRule="atLeast"/>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仿宋" w:hAnsi="仿宋" w:eastAsia="仿宋" w:cs="仿宋"/>
              </w:rPr>
            </w:pPr>
            <w:r>
              <w:rPr>
                <w:rFonts w:hint="eastAsia" w:ascii="仿宋" w:hAnsi="仿宋" w:eastAsia="仿宋" w:cs="仿宋"/>
                <w:color w:val="333333"/>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仿宋" w:hAnsi="仿宋" w:eastAsia="仿宋" w:cs="仿宋"/>
                <w:lang w:val="en-US"/>
              </w:rPr>
            </w:pPr>
            <w:r>
              <w:rPr>
                <w:rFonts w:hint="eastAsia" w:ascii="仿宋" w:hAnsi="仿宋" w:eastAsia="仿宋" w:cs="仿宋"/>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jc w:val="center"/>
              <w:rPr>
                <w:rFonts w:hint="eastAsia" w:ascii="仿宋" w:hAnsi="仿宋" w:eastAsia="仿宋" w:cs="仿宋"/>
                <w:color w:val="333333"/>
                <w:sz w:val="21"/>
                <w:szCs w:val="21"/>
                <w:lang w:val="en-US" w:eastAsia="zh-CN"/>
              </w:rPr>
            </w:pPr>
            <w:r>
              <w:rPr>
                <w:rFonts w:hint="eastAsia" w:ascii="仿宋" w:hAnsi="仿宋" w:eastAsia="仿宋" w:cs="仿宋"/>
                <w:color w:val="333333"/>
                <w:sz w:val="21"/>
                <w:szCs w:val="21"/>
                <w:lang w:val="en-US" w:eastAsia="zh-CN"/>
              </w:rPr>
              <w:t>0</w:t>
            </w:r>
          </w:p>
        </w:tc>
      </w:tr>
    </w:tbl>
    <w:p>
      <w:pPr>
        <w:pStyle w:val="5"/>
        <w:keepNext w:val="0"/>
        <w:keepLines w:val="0"/>
        <w:widowControl/>
        <w:suppressLineNumbers w:val="0"/>
        <w:spacing w:before="0" w:beforeAutospacing="0" w:after="0" w:afterAutospacing="0" w:line="432" w:lineRule="auto"/>
        <w:ind w:firstLine="320" w:firstLineChars="100"/>
        <w:jc w:val="both"/>
        <w:rPr>
          <w:rFonts w:hint="eastAsia" w:ascii="黑体" w:hAnsi="黑体" w:eastAsia="黑体" w:cs="黑体"/>
          <w:b w:val="0"/>
          <w:bCs/>
          <w:color w:val="333333"/>
          <w:sz w:val="24"/>
          <w:szCs w:val="24"/>
        </w:rPr>
      </w:pPr>
      <w:r>
        <w:rPr>
          <w:rFonts w:hint="eastAsia" w:ascii="黑体" w:hAnsi="黑体" w:eastAsia="黑体" w:cs="黑体"/>
          <w:b w:val="0"/>
          <w:bCs/>
          <w:color w:val="333333"/>
          <w:sz w:val="32"/>
          <w:szCs w:val="32"/>
        </w:rPr>
        <w:t>四、政府信息公开行政复议、行政诉讼情况</w:t>
      </w:r>
    </w:p>
    <w:tbl>
      <w:tblPr>
        <w:tblStyle w:val="6"/>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2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行政复议</w:t>
            </w:r>
          </w:p>
        </w:tc>
        <w:tc>
          <w:tcPr>
            <w:tcW w:w="649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结果维持</w:t>
            </w:r>
          </w:p>
        </w:tc>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333333"/>
                <w:sz w:val="21"/>
                <w:szCs w:val="21"/>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color w:val="333333"/>
                <w:sz w:val="21"/>
                <w:szCs w:val="21"/>
              </w:rPr>
            </w:pP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总计</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维持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color w:val="333333"/>
                <w:kern w:val="0"/>
                <w:sz w:val="20"/>
                <w:szCs w:val="20"/>
                <w:lang w:val="en-US" w:eastAsia="zh-CN" w:bidi="ar"/>
              </w:rPr>
            </w:pPr>
            <w:r>
              <w:rPr>
                <w:rFonts w:hint="eastAsia" w:ascii="仿宋" w:hAnsi="仿宋" w:eastAsia="仿宋" w:cs="仿宋"/>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 w:hAnsi="仿宋" w:eastAsia="仿宋" w:cs="仿宋"/>
                <w:lang w:val="en-US"/>
              </w:rPr>
            </w:pPr>
            <w:r>
              <w:rPr>
                <w:rFonts w:hint="eastAsia" w:ascii="仿宋" w:hAnsi="仿宋" w:eastAsia="仿宋" w:cs="仿宋"/>
                <w:color w:val="333333"/>
                <w:kern w:val="2"/>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333333"/>
                <w:sz w:val="21"/>
                <w:szCs w:val="21"/>
                <w:lang w:val="en-US" w:eastAsia="zh-CN"/>
              </w:rPr>
            </w:pPr>
            <w:r>
              <w:rPr>
                <w:rFonts w:hint="eastAsia" w:ascii="仿宋" w:hAnsi="仿宋" w:eastAsia="仿宋" w:cs="仿宋"/>
                <w:color w:val="333333"/>
                <w:sz w:val="21"/>
                <w:szCs w:val="21"/>
                <w:lang w:val="en-US" w:eastAsia="zh-CN"/>
              </w:rPr>
              <w:t>0</w:t>
            </w:r>
          </w:p>
        </w:tc>
      </w:tr>
    </w:tbl>
    <w:p>
      <w:pPr>
        <w:pStyle w:val="5"/>
        <w:keepNext w:val="0"/>
        <w:keepLines w:val="0"/>
        <w:widowControl/>
        <w:numPr>
          <w:numId w:val="0"/>
        </w:numPr>
        <w:suppressLineNumbers w:val="0"/>
        <w:spacing w:before="0" w:beforeAutospacing="0" w:after="0" w:afterAutospacing="0" w:line="432" w:lineRule="auto"/>
        <w:ind w:right="0" w:rightChars="0" w:firstLine="320" w:firstLineChars="100"/>
        <w:jc w:val="both"/>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lang w:eastAsia="zh-CN"/>
        </w:rPr>
        <w:t>五、</w:t>
      </w:r>
      <w:r>
        <w:rPr>
          <w:rFonts w:hint="eastAsia" w:ascii="黑体" w:hAnsi="黑体" w:eastAsia="黑体" w:cs="黑体"/>
          <w:b w:val="0"/>
          <w:bCs/>
          <w:color w:val="333333"/>
          <w:sz w:val="32"/>
          <w:szCs w:val="32"/>
        </w:rPr>
        <w:t>存在的主要问题及改进情况</w:t>
      </w:r>
    </w:p>
    <w:p>
      <w:pPr>
        <w:keepNext w:val="0"/>
        <w:keepLines w:val="0"/>
        <w:pageBreakBefore w:val="0"/>
        <w:widowControl/>
        <w:kinsoku/>
        <w:wordWrap/>
        <w:overflowPunct/>
        <w:topLinePunct w:val="0"/>
        <w:autoSpaceDE w:val="0"/>
        <w:autoSpaceDN w:val="0"/>
        <w:bidi w:val="0"/>
        <w:adjustRightInd w:val="0"/>
        <w:snapToGrid w:val="0"/>
        <w:spacing w:line="640" w:lineRule="exact"/>
        <w:ind w:left="0" w:right="0" w:firstLine="640" w:firstLineChars="200"/>
        <w:jc w:val="both"/>
        <w:textAlignment w:val="baseline"/>
        <w:rPr>
          <w:rFonts w:hint="eastAsia" w:ascii="仿宋" w:hAnsi="仿宋" w:eastAsia="仿宋" w:cs="仿宋"/>
          <w:snapToGrid/>
          <w:color w:val="auto"/>
          <w:spacing w:val="0"/>
          <w:kern w:val="21"/>
          <w:sz w:val="32"/>
          <w:szCs w:val="32"/>
        </w:rPr>
      </w:pPr>
      <w:r>
        <w:rPr>
          <w:rFonts w:hint="eastAsia" w:ascii="仿宋" w:hAnsi="仿宋" w:eastAsia="仿宋" w:cs="仿宋"/>
          <w:snapToGrid/>
          <w:color w:val="auto"/>
          <w:spacing w:val="0"/>
          <w:kern w:val="21"/>
          <w:sz w:val="32"/>
          <w:szCs w:val="32"/>
        </w:rPr>
        <w:t>2022年，尽管县</w:t>
      </w:r>
      <w:r>
        <w:rPr>
          <w:rFonts w:hint="eastAsia" w:ascii="仿宋" w:hAnsi="仿宋" w:eastAsia="仿宋" w:cs="仿宋"/>
          <w:snapToGrid/>
          <w:color w:val="auto"/>
          <w:spacing w:val="0"/>
          <w:kern w:val="21"/>
          <w:sz w:val="32"/>
          <w:szCs w:val="32"/>
          <w:lang w:val="en-US" w:eastAsia="zh-CN"/>
        </w:rPr>
        <w:t>审计</w:t>
      </w:r>
      <w:r>
        <w:rPr>
          <w:rFonts w:hint="eastAsia" w:ascii="仿宋" w:hAnsi="仿宋" w:eastAsia="仿宋" w:cs="仿宋"/>
          <w:snapToGrid/>
          <w:color w:val="auto"/>
          <w:spacing w:val="0"/>
          <w:kern w:val="21"/>
          <w:sz w:val="32"/>
          <w:szCs w:val="32"/>
        </w:rPr>
        <w:t>局政务公开工作取得了一定成就，但工作中还存在一些问题和不足。主要表现在：政策解读形式内容不够丰富，公开不够全面，政务公开意识和工作能力还需要加强。</w:t>
      </w:r>
    </w:p>
    <w:p>
      <w:pPr>
        <w:pStyle w:val="5"/>
        <w:keepNext w:val="0"/>
        <w:keepLines w:val="0"/>
        <w:widowControl/>
        <w:suppressLineNumbers w:val="0"/>
        <w:spacing w:before="0" w:beforeAutospacing="0" w:after="0" w:afterAutospacing="0" w:line="432" w:lineRule="auto"/>
        <w:ind w:firstLine="640" w:firstLineChars="20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改进措施：</w:t>
      </w:r>
    </w:p>
    <w:p>
      <w:pPr>
        <w:pStyle w:val="5"/>
        <w:keepNext w:val="0"/>
        <w:keepLines w:val="0"/>
        <w:widowControl/>
        <w:suppressLineNumbers w:val="0"/>
        <w:spacing w:before="0" w:beforeAutospacing="0" w:after="0" w:afterAutospacing="0" w:line="432" w:lineRule="auto"/>
        <w:ind w:firstLine="640" w:firstLineChars="20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加强基层政务公开水平。围绕《中华人民共和国政府信息公开条例》的新要求新标准，切实深入领会贯彻，确保政府信息特别是涉及公共利益和公众切身利益等重点领域信息能够更加及时、准确、规范地公开，保障公民知情权和监督权。</w:t>
      </w:r>
    </w:p>
    <w:p>
      <w:pPr>
        <w:pStyle w:val="5"/>
        <w:keepNext w:val="0"/>
        <w:keepLines w:val="0"/>
        <w:widowControl/>
        <w:suppressLineNumbers w:val="0"/>
        <w:spacing w:before="0" w:beforeAutospacing="0" w:after="0" w:afterAutospacing="0" w:line="432" w:lineRule="auto"/>
        <w:ind w:firstLine="640" w:firstLineChars="200"/>
        <w:jc w:val="both"/>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2、不断增强政府信息公开工作人员素质。做好政府信息公开工作宣传，加强政府信息公开业务培训和业务交流，增强信息公开队伍的法治意识、保密意识和责任意识，打造一批精通业务的政务信息公开队伍。</w:t>
      </w:r>
    </w:p>
    <w:p>
      <w:pPr>
        <w:pStyle w:val="5"/>
        <w:keepNext w:val="0"/>
        <w:keepLines w:val="0"/>
        <w:widowControl/>
        <w:suppressLineNumbers w:val="0"/>
        <w:spacing w:before="0" w:beforeAutospacing="0" w:after="0" w:afterAutospacing="0" w:line="432" w:lineRule="auto"/>
        <w:ind w:left="0" w:firstLine="420"/>
        <w:jc w:val="both"/>
        <w:rPr>
          <w:rFonts w:hint="eastAsia" w:ascii="黑体" w:hAnsi="黑体" w:eastAsia="黑体" w:cs="黑体"/>
          <w:b w:val="0"/>
          <w:bCs w:val="0"/>
          <w:sz w:val="32"/>
          <w:szCs w:val="32"/>
        </w:rPr>
      </w:pPr>
      <w:r>
        <w:rPr>
          <w:rFonts w:hint="eastAsia" w:ascii="黑体" w:hAnsi="黑体" w:eastAsia="黑体" w:cs="黑体"/>
          <w:b w:val="0"/>
          <w:bCs w:val="0"/>
          <w:color w:val="333333"/>
          <w:sz w:val="32"/>
          <w:szCs w:val="32"/>
          <w:lang w:val="en-US" w:eastAsia="zh-CN"/>
        </w:rPr>
        <w:t>六、其他需要报告的</w:t>
      </w:r>
      <w:r>
        <w:rPr>
          <w:rFonts w:hint="eastAsia" w:ascii="黑体" w:hAnsi="黑体" w:eastAsia="黑体" w:cs="黑体"/>
          <w:b w:val="0"/>
          <w:bCs w:val="0"/>
          <w:color w:val="333333"/>
          <w:sz w:val="32"/>
          <w:szCs w:val="32"/>
        </w:rPr>
        <w:t>事项</w:t>
      </w:r>
    </w:p>
    <w:p>
      <w:pPr>
        <w:ind w:firstLine="640" w:firstLineChars="200"/>
        <w:rPr>
          <w:rFonts w:hint="eastAsia" w:ascii="仿宋" w:hAnsi="仿宋" w:eastAsia="仿宋" w:cs="仿宋"/>
          <w:sz w:val="32"/>
          <w:szCs w:val="32"/>
          <w:lang w:eastAsia="zh-CN"/>
        </w:rPr>
      </w:pPr>
      <w:r>
        <w:rPr>
          <w:rFonts w:hint="eastAsia" w:ascii="仿宋" w:hAnsi="仿宋" w:eastAsia="仿宋" w:cs="仿宋"/>
          <w:color w:val="333333"/>
          <w:sz w:val="32"/>
          <w:szCs w:val="32"/>
          <w:lang w:val="en-US" w:eastAsia="zh-CN"/>
        </w:rPr>
        <w:t>无</w:t>
      </w:r>
    </w:p>
    <w:p>
      <w:pPr>
        <w:rPr>
          <w:rFonts w:hint="eastAsia" w:ascii="仿宋" w:hAnsi="仿宋" w:eastAsia="仿宋" w:cs="仿宋"/>
          <w:color w:val="333333"/>
          <w:kern w:val="0"/>
          <w:sz w:val="32"/>
          <w:szCs w:val="32"/>
          <w:lang w:val="en-US" w:eastAsia="zh-CN" w:bidi="ar"/>
        </w:rPr>
      </w:pPr>
    </w:p>
    <w:p>
      <w:pPr>
        <w:ind w:firstLine="5440" w:firstLineChars="1700"/>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保德县审计局</w:t>
      </w:r>
    </w:p>
    <w:p>
      <w:pPr>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 xml:space="preserve">                                 2023年1月15日          </w:t>
      </w:r>
    </w:p>
    <w:p>
      <w:pPr>
        <w:jc w:val="both"/>
        <w:rPr>
          <w:rFonts w:hint="eastAsia" w:ascii="仿宋" w:hAnsi="仿宋" w:eastAsia="仿宋" w:cs="仿宋"/>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TFmYzdjMTg5OWVmY2IxNjI1ODNhYjZmNThlMDUifQ=="/>
  </w:docVars>
  <w:rsids>
    <w:rsidRoot w:val="00000000"/>
    <w:rsid w:val="017F358D"/>
    <w:rsid w:val="0241112E"/>
    <w:rsid w:val="02F32FFC"/>
    <w:rsid w:val="067C4D9F"/>
    <w:rsid w:val="07707311"/>
    <w:rsid w:val="0F440D1D"/>
    <w:rsid w:val="15573950"/>
    <w:rsid w:val="23667B9F"/>
    <w:rsid w:val="2A3537A8"/>
    <w:rsid w:val="2D2B3D6C"/>
    <w:rsid w:val="2F3960B7"/>
    <w:rsid w:val="30A7166A"/>
    <w:rsid w:val="323B0861"/>
    <w:rsid w:val="3E1E179F"/>
    <w:rsid w:val="40682268"/>
    <w:rsid w:val="4078708B"/>
    <w:rsid w:val="423544BC"/>
    <w:rsid w:val="51B20920"/>
    <w:rsid w:val="57AA650F"/>
    <w:rsid w:val="58BC6829"/>
    <w:rsid w:val="5B9D2243"/>
    <w:rsid w:val="5D233098"/>
    <w:rsid w:val="600569D9"/>
    <w:rsid w:val="6685561B"/>
    <w:rsid w:val="782B3132"/>
    <w:rsid w:val="7AEC3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styleId="10">
    <w:name w:val="HTML Code"/>
    <w:basedOn w:val="7"/>
    <w:qFormat/>
    <w:uiPriority w:val="0"/>
    <w:rPr>
      <w:rFonts w:ascii="Courier New" w:hAnsi="Courier New"/>
      <w:sz w:val="20"/>
    </w:rPr>
  </w:style>
  <w:style w:type="character" w:customStyle="1" w:styleId="11">
    <w:name w:val="font"/>
    <w:basedOn w:val="7"/>
    <w:qFormat/>
    <w:uiPriority w:val="0"/>
  </w:style>
  <w:style w:type="character" w:customStyle="1" w:styleId="12">
    <w:name w:val="font1"/>
    <w:basedOn w:val="7"/>
    <w:qFormat/>
    <w:uiPriority w:val="0"/>
  </w:style>
  <w:style w:type="character" w:customStyle="1" w:styleId="13">
    <w:name w:val="m01"/>
    <w:basedOn w:val="7"/>
    <w:qFormat/>
    <w:uiPriority w:val="0"/>
  </w:style>
  <w:style w:type="character" w:customStyle="1" w:styleId="14">
    <w:name w:val="m011"/>
    <w:basedOn w:val="7"/>
    <w:qFormat/>
    <w:uiPriority w:val="0"/>
  </w:style>
  <w:style w:type="character" w:customStyle="1" w:styleId="15">
    <w:name w:val="tabg"/>
    <w:basedOn w:val="7"/>
    <w:qFormat/>
    <w:uiPriority w:val="0"/>
    <w:rPr>
      <w:color w:val="FFFFFF"/>
      <w:sz w:val="27"/>
      <w:szCs w:val="27"/>
    </w:rPr>
  </w:style>
  <w:style w:type="character" w:customStyle="1" w:styleId="16">
    <w:name w:val="name"/>
    <w:basedOn w:val="7"/>
    <w:qFormat/>
    <w:uiPriority w:val="0"/>
    <w:rPr>
      <w:color w:val="6A6A6A"/>
      <w:u w:val="single"/>
    </w:rPr>
  </w:style>
  <w:style w:type="character" w:customStyle="1" w:styleId="17">
    <w:name w:val="dates"/>
    <w:basedOn w:val="7"/>
    <w:qFormat/>
    <w:uiPriority w:val="0"/>
  </w:style>
  <w:style w:type="character" w:customStyle="1" w:styleId="18">
    <w:name w:val="hover15"/>
    <w:basedOn w:val="7"/>
    <w:qFormat/>
    <w:uiPriority w:val="0"/>
    <w:rPr>
      <w:color w:val="015293"/>
    </w:rPr>
  </w:style>
  <w:style w:type="character" w:customStyle="1" w:styleId="19">
    <w:name w:val="bg02"/>
    <w:basedOn w:val="7"/>
    <w:qFormat/>
    <w:uiPriority w:val="0"/>
  </w:style>
  <w:style w:type="character" w:customStyle="1" w:styleId="20">
    <w:name w:val="bg01"/>
    <w:basedOn w:val="7"/>
    <w:qFormat/>
    <w:uiPriority w:val="0"/>
  </w:style>
  <w:style w:type="character" w:customStyle="1" w:styleId="21">
    <w:name w:val="more4"/>
    <w:basedOn w:val="7"/>
    <w:qFormat/>
    <w:uiPriority w:val="0"/>
    <w:rPr>
      <w:color w:val="666666"/>
      <w:sz w:val="18"/>
      <w:szCs w:val="18"/>
    </w:rPr>
  </w:style>
  <w:style w:type="character" w:customStyle="1" w:styleId="22">
    <w:name w:val="laypage_curr"/>
    <w:basedOn w:val="7"/>
    <w:qFormat/>
    <w:uiPriority w:val="0"/>
    <w:rPr>
      <w:color w:val="FFFDF4"/>
      <w:shd w:val="clear" w:fill="0B67A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1402</Words>
  <Characters>1434</Characters>
  <Lines>0</Lines>
  <Paragraphs>0</Paragraphs>
  <TotalTime>6</TotalTime>
  <ScaleCrop>false</ScaleCrop>
  <LinksUpToDate>false</LinksUpToDate>
  <CharactersWithSpaces>1490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2022-01-19T03:16:00Z</dcterms:created>
  <dc:creator>Administrator</dc:creator>
  <cp:lastModifiedBy>Administrator</cp:lastModifiedBy>
  <dcterms:modified xsi:type="dcterms:W3CDTF">2023-01-17T04:14:39Z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6A6768F041724FC4879F6D941D2B656B</vt:lpwstr>
  </property>
</Properties>
</file>