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32" w:lineRule="auto"/>
        <w:jc w:val="center"/>
        <w:rPr>
          <w:rFonts w:hint="eastAsia" w:ascii="宋体" w:hAnsi="宋体" w:eastAsia="宋体" w:cs="宋体"/>
          <w:b/>
          <w:color w:val="333333"/>
          <w:sz w:val="36"/>
          <w:szCs w:val="36"/>
          <w:lang w:val="en-US" w:eastAsia="zh-CN"/>
        </w:rPr>
      </w:pPr>
      <w:r>
        <w:rPr>
          <w:rFonts w:hint="eastAsia" w:ascii="宋体" w:hAnsi="宋体" w:eastAsia="宋体" w:cs="宋体"/>
          <w:b/>
          <w:color w:val="333333"/>
          <w:sz w:val="36"/>
          <w:szCs w:val="36"/>
          <w:lang w:val="en-US" w:eastAsia="zh-CN"/>
        </w:rPr>
        <w:t>2022年保德县孙家沟镇人民政府</w:t>
      </w:r>
    </w:p>
    <w:p>
      <w:pPr>
        <w:pStyle w:val="4"/>
        <w:keepNext w:val="0"/>
        <w:keepLines w:val="0"/>
        <w:widowControl/>
        <w:suppressLineNumbers w:val="0"/>
        <w:spacing w:before="0" w:beforeAutospacing="0" w:after="0" w:afterAutospacing="0" w:line="432" w:lineRule="auto"/>
        <w:jc w:val="center"/>
        <w:rPr>
          <w:rFonts w:hint="eastAsia" w:ascii="宋体" w:hAnsi="宋体" w:eastAsia="宋体" w:cs="宋体"/>
          <w:b/>
          <w:color w:val="333333"/>
          <w:sz w:val="36"/>
          <w:szCs w:val="36"/>
          <w:lang w:eastAsia="zh-CN"/>
        </w:rPr>
      </w:pPr>
      <w:r>
        <w:rPr>
          <w:rFonts w:hint="eastAsia" w:ascii="宋体" w:hAnsi="宋体" w:eastAsia="宋体" w:cs="宋体"/>
          <w:b/>
          <w:color w:val="333333"/>
          <w:sz w:val="36"/>
          <w:szCs w:val="36"/>
          <w:lang w:val="en-US" w:eastAsia="zh-CN"/>
        </w:rPr>
        <w:t>信息公开工作年度报告</w:t>
      </w:r>
    </w:p>
    <w:p>
      <w:pPr>
        <w:widowControl w:val="0"/>
        <w:wordWrap/>
        <w:adjustRightInd/>
        <w:snapToGrid/>
        <w:spacing w:line="576" w:lineRule="exact"/>
        <w:ind w:firstLine="640" w:firstLineChars="200"/>
        <w:textAlignment w:val="auto"/>
        <w:rPr>
          <w:rFonts w:hint="eastAsia" w:ascii="宋体" w:hAnsi="宋体" w:eastAsia="宋体" w:cs="宋体"/>
        </w:rPr>
      </w:pPr>
      <w:r>
        <w:rPr>
          <w:rFonts w:hint="eastAsia" w:ascii="仿宋_GB2312" w:eastAsia="仿宋_GB2312" w:cs="仿宋_GB2312"/>
          <w:color w:val="auto"/>
          <w:sz w:val="32"/>
          <w:szCs w:val="32"/>
        </w:rPr>
        <w:t>根据《中华人民共和国信息公开条例》</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国务院办公厅政府信息与政务公开办公室关于印发中华人民共和国政府信息公开工作年度报告格式的通知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国办公开函</w:t>
      </w:r>
      <w:r>
        <w:rPr>
          <w:rFonts w:hint="eastAsia" w:ascii="宋体" w:hAnsi="宋体" w:eastAsia="宋体" w:cs="宋体"/>
          <w:color w:val="auto"/>
          <w:sz w:val="32"/>
          <w:szCs w:val="32"/>
          <w:lang w:val="en-US" w:eastAsia="zh-CN"/>
        </w:rPr>
        <w:t>〔</w:t>
      </w:r>
      <w:r>
        <w:rPr>
          <w:rFonts w:hint="eastAsia" w:ascii="仿宋_GB2312" w:eastAsia="仿宋_GB2312" w:cs="仿宋_GB2312"/>
          <w:color w:val="auto"/>
          <w:sz w:val="32"/>
          <w:szCs w:val="32"/>
          <w:lang w:val="en-US" w:eastAsia="zh-CN"/>
        </w:rPr>
        <w:t>2021</w:t>
      </w:r>
      <w:r>
        <w:rPr>
          <w:rFonts w:hint="eastAsia" w:ascii="宋体" w:hAnsi="宋体" w:eastAsia="宋体" w:cs="宋体"/>
          <w:color w:val="auto"/>
          <w:sz w:val="32"/>
          <w:szCs w:val="32"/>
          <w:lang w:val="en-US" w:eastAsia="zh-CN"/>
        </w:rPr>
        <w:t>〕</w:t>
      </w:r>
      <w:r>
        <w:rPr>
          <w:rFonts w:hint="eastAsia" w:ascii="仿宋_GB2312" w:eastAsia="仿宋_GB2312" w:cs="仿宋_GB2312"/>
          <w:color w:val="auto"/>
          <w:sz w:val="32"/>
          <w:szCs w:val="32"/>
          <w:lang w:val="en-US" w:eastAsia="zh-CN"/>
        </w:rPr>
        <w:t>30号</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忻州市人民办公室关于认真做好政府信息公开工作年报的督办通知</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要求</w:t>
      </w:r>
      <w:r>
        <w:rPr>
          <w:rFonts w:hint="eastAsia" w:ascii="仿宋_GB2312" w:eastAsia="仿宋_GB2312" w:cs="仿宋_GB2312"/>
          <w:color w:val="auto"/>
          <w:sz w:val="32"/>
          <w:szCs w:val="32"/>
        </w:rPr>
        <w:t>及</w:t>
      </w:r>
      <w:r>
        <w:rPr>
          <w:rFonts w:hint="eastAsia" w:ascii="仿宋_GB2312" w:eastAsia="仿宋_GB2312" w:cs="仿宋_GB2312"/>
          <w:color w:val="auto"/>
          <w:sz w:val="32"/>
          <w:szCs w:val="32"/>
          <w:lang w:eastAsia="zh-CN"/>
        </w:rPr>
        <w:t>县</w:t>
      </w:r>
      <w:r>
        <w:rPr>
          <w:rFonts w:hint="eastAsia" w:ascii="仿宋_GB2312" w:eastAsia="仿宋_GB2312" w:cs="仿宋_GB2312"/>
          <w:color w:val="auto"/>
          <w:sz w:val="32"/>
          <w:szCs w:val="32"/>
        </w:rPr>
        <w:t>政府</w:t>
      </w:r>
      <w:r>
        <w:rPr>
          <w:rFonts w:hint="eastAsia" w:ascii="仿宋_GB2312" w:eastAsia="仿宋_GB2312" w:cs="仿宋_GB2312"/>
          <w:color w:val="auto"/>
          <w:sz w:val="32"/>
          <w:szCs w:val="32"/>
          <w:lang w:eastAsia="zh-CN"/>
        </w:rPr>
        <w:t>办公室《</w:t>
      </w:r>
      <w:r>
        <w:rPr>
          <w:rFonts w:hint="eastAsia" w:ascii="仿宋_GB2312" w:eastAsia="仿宋_GB2312" w:cs="仿宋_GB2312"/>
          <w:color w:val="auto"/>
          <w:sz w:val="32"/>
          <w:szCs w:val="32"/>
        </w:rPr>
        <w:t>关于</w:t>
      </w:r>
      <w:r>
        <w:rPr>
          <w:rFonts w:hint="eastAsia" w:ascii="仿宋_GB2312" w:eastAsia="仿宋_GB2312" w:cs="仿宋_GB2312"/>
          <w:color w:val="auto"/>
          <w:sz w:val="32"/>
          <w:szCs w:val="32"/>
          <w:lang w:val="en-US" w:eastAsia="zh-CN"/>
        </w:rPr>
        <w:t>认真</w:t>
      </w:r>
      <w:r>
        <w:rPr>
          <w:rFonts w:hint="eastAsia" w:ascii="仿宋_GB2312" w:eastAsia="仿宋_GB2312" w:cs="仿宋_GB2312"/>
          <w:color w:val="auto"/>
          <w:sz w:val="32"/>
          <w:szCs w:val="32"/>
          <w:lang w:eastAsia="zh-CN"/>
        </w:rPr>
        <w:t>做好</w:t>
      </w:r>
      <w:r>
        <w:rPr>
          <w:rFonts w:hint="eastAsia" w:ascii="仿宋_GB2312" w:eastAsia="仿宋_GB2312" w:cs="仿宋_GB2312"/>
          <w:color w:val="auto"/>
          <w:sz w:val="32"/>
          <w:szCs w:val="32"/>
        </w:rPr>
        <w:t>政府信息公开工作</w:t>
      </w:r>
      <w:r>
        <w:rPr>
          <w:rFonts w:hint="eastAsia" w:ascii="仿宋_GB2312" w:eastAsia="仿宋_GB2312" w:cs="仿宋_GB2312"/>
          <w:color w:val="auto"/>
          <w:sz w:val="32"/>
          <w:szCs w:val="32"/>
          <w:lang w:eastAsia="zh-CN"/>
        </w:rPr>
        <w:t>年报的通知》要求</w:t>
      </w:r>
      <w:r>
        <w:rPr>
          <w:rFonts w:hint="eastAsia" w:ascii="仿宋_GB2312" w:eastAsia="仿宋_GB2312" w:cs="仿宋_GB2312"/>
          <w:color w:val="auto"/>
          <w:sz w:val="32"/>
          <w:szCs w:val="32"/>
        </w:rPr>
        <w:t>，结合我</w:t>
      </w:r>
      <w:r>
        <w:rPr>
          <w:rFonts w:hint="eastAsia" w:ascii="仿宋_GB2312" w:eastAsia="仿宋_GB2312" w:cs="仿宋_GB2312"/>
          <w:color w:val="auto"/>
          <w:sz w:val="32"/>
          <w:szCs w:val="32"/>
          <w:lang w:eastAsia="zh-CN"/>
        </w:rPr>
        <w:t>镇工作</w:t>
      </w:r>
      <w:r>
        <w:rPr>
          <w:rFonts w:hint="eastAsia" w:ascii="仿宋_GB2312" w:eastAsia="仿宋_GB2312" w:cs="仿宋_GB2312"/>
          <w:color w:val="auto"/>
          <w:sz w:val="32"/>
          <w:szCs w:val="32"/>
        </w:rPr>
        <w:t>实际，现将20</w:t>
      </w:r>
      <w:r>
        <w:rPr>
          <w:rFonts w:hint="eastAsia" w:ascii="仿宋_GB2312" w:eastAsia="仿宋_GB2312" w:cs="仿宋_GB2312"/>
          <w:color w:val="auto"/>
          <w:sz w:val="32"/>
          <w:szCs w:val="32"/>
          <w:lang w:val="en-US" w:eastAsia="zh-CN"/>
        </w:rPr>
        <w:t>22</w:t>
      </w:r>
      <w:r>
        <w:rPr>
          <w:rFonts w:hint="eastAsia" w:ascii="仿宋_GB2312" w:eastAsia="仿宋_GB2312" w:cs="仿宋_GB2312"/>
          <w:color w:val="auto"/>
          <w:sz w:val="32"/>
          <w:szCs w:val="32"/>
        </w:rPr>
        <w:t>年度</w:t>
      </w:r>
      <w:r>
        <w:rPr>
          <w:rFonts w:hint="eastAsia" w:ascii="仿宋_GB2312" w:eastAsia="仿宋_GB2312" w:cs="仿宋_GB2312"/>
          <w:color w:val="auto"/>
          <w:sz w:val="32"/>
          <w:szCs w:val="32"/>
          <w:lang w:eastAsia="zh-CN"/>
        </w:rPr>
        <w:t>孙家沟镇</w:t>
      </w:r>
      <w:r>
        <w:rPr>
          <w:rFonts w:hint="eastAsia" w:ascii="仿宋_GB2312" w:eastAsia="仿宋_GB2312" w:cs="仿宋_GB2312"/>
          <w:color w:val="auto"/>
          <w:sz w:val="32"/>
          <w:szCs w:val="32"/>
        </w:rPr>
        <w:t>政府信息</w:t>
      </w:r>
      <w:r>
        <w:rPr>
          <w:rFonts w:ascii="仿宋_GB2312" w:eastAsia="仿宋_GB2312" w:cs="仿宋_GB2312"/>
          <w:color w:val="auto"/>
          <w:sz w:val="32"/>
          <w:szCs w:val="32"/>
        </w:rPr>
        <w:t>公</w:t>
      </w:r>
      <w:r>
        <w:rPr>
          <w:rFonts w:hint="eastAsia" w:ascii="仿宋_GB2312" w:eastAsia="仿宋_GB2312" w:cs="仿宋_GB2312"/>
          <w:color w:val="auto"/>
          <w:sz w:val="32"/>
          <w:szCs w:val="32"/>
        </w:rPr>
        <w:t>开情况</w:t>
      </w:r>
      <w:r>
        <w:rPr>
          <w:rFonts w:hint="eastAsia" w:ascii="仿宋_GB2312" w:eastAsia="仿宋_GB2312" w:cs="仿宋_GB2312"/>
          <w:color w:val="auto"/>
          <w:sz w:val="32"/>
          <w:szCs w:val="32"/>
          <w:lang w:eastAsia="zh-CN"/>
        </w:rPr>
        <w:t>报告</w:t>
      </w:r>
      <w:r>
        <w:rPr>
          <w:rFonts w:hint="eastAsia" w:ascii="仿宋_GB2312" w:eastAsia="仿宋_GB2312" w:cs="仿宋_GB2312"/>
          <w:color w:val="auto"/>
          <w:sz w:val="32"/>
          <w:szCs w:val="32"/>
        </w:rPr>
        <w:t>如下</w:t>
      </w:r>
      <w:r>
        <w:rPr>
          <w:rFonts w:hint="eastAsia" w:ascii="仿宋_GB2312" w:eastAsia="仿宋_GB2312" w:cs="仿宋_GB2312"/>
          <w:color w:val="auto"/>
          <w:sz w:val="32"/>
          <w:szCs w:val="32"/>
          <w:lang w:eastAsia="zh-CN"/>
        </w:rPr>
        <w:t>，</w:t>
      </w:r>
      <w:r>
        <w:rPr>
          <w:rFonts w:hint="eastAsia" w:ascii="仿宋" w:hAnsi="仿宋" w:eastAsia="仿宋" w:cs="仿宋"/>
          <w:i w:val="0"/>
          <w:iCs w:val="0"/>
          <w:caps w:val="0"/>
          <w:color w:val="000000"/>
          <w:spacing w:val="0"/>
          <w:sz w:val="32"/>
          <w:szCs w:val="32"/>
          <w:shd w:val="clear" w:fill="FFFFFF"/>
        </w:rPr>
        <w:t>报告统计数据时限为</w:t>
      </w:r>
      <w:r>
        <w:rPr>
          <w:rFonts w:hint="eastAsia" w:ascii="仿宋" w:hAnsi="仿宋" w:eastAsia="仿宋" w:cs="仿宋"/>
          <w:i w:val="0"/>
          <w:iCs w:val="0"/>
          <w:caps w:val="0"/>
          <w:color w:val="000000"/>
          <w:spacing w:val="0"/>
          <w:sz w:val="32"/>
          <w:szCs w:val="32"/>
          <w:shd w:val="clear" w:fill="FFFFFF"/>
          <w:lang w:eastAsia="zh-CN"/>
        </w:rPr>
        <w:t>2022</w:t>
      </w:r>
      <w:r>
        <w:rPr>
          <w:rFonts w:hint="eastAsia" w:ascii="仿宋" w:hAnsi="仿宋" w:eastAsia="仿宋" w:cs="仿宋"/>
          <w:i w:val="0"/>
          <w:iCs w:val="0"/>
          <w:caps w:val="0"/>
          <w:color w:val="000000"/>
          <w:spacing w:val="0"/>
          <w:sz w:val="32"/>
          <w:szCs w:val="32"/>
          <w:shd w:val="clear" w:fill="FFFFFF"/>
        </w:rPr>
        <w:t>年1月1日至</w:t>
      </w:r>
      <w:r>
        <w:rPr>
          <w:rFonts w:hint="eastAsia" w:ascii="仿宋" w:hAnsi="仿宋" w:eastAsia="仿宋" w:cs="仿宋"/>
          <w:i w:val="0"/>
          <w:iCs w:val="0"/>
          <w:caps w:val="0"/>
          <w:color w:val="000000"/>
          <w:spacing w:val="0"/>
          <w:sz w:val="32"/>
          <w:szCs w:val="32"/>
          <w:shd w:val="clear" w:fill="FFFFFF"/>
          <w:lang w:eastAsia="zh-CN"/>
        </w:rPr>
        <w:t>2022</w:t>
      </w:r>
      <w:r>
        <w:rPr>
          <w:rFonts w:hint="eastAsia" w:ascii="仿宋" w:hAnsi="仿宋" w:eastAsia="仿宋" w:cs="仿宋"/>
          <w:i w:val="0"/>
          <w:iCs w:val="0"/>
          <w:caps w:val="0"/>
          <w:color w:val="000000"/>
          <w:spacing w:val="0"/>
          <w:sz w:val="32"/>
          <w:szCs w:val="32"/>
          <w:shd w:val="clear" w:fill="FFFFFF"/>
        </w:rPr>
        <w:t>年12月31日。</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镇以习近平新时代中国特色社会主义思想为指导，在县委、县政府和镇党委的正确领导下，结合孙家沟镇实际，以学习贯彻《中华人民共和国政府信息公开条例》为抓手，持续稳步推进孙家沟镇政府信息公开标准化规范化建设，坚持积极、稳步、有序、渐进原则，全面做好政府信息公开工作。切实保障人民群众的知情权、参与权、表达权和监督权。为打造法治政府发挥了重要作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继续健全政务公开领导机制。及时调整并充实人员，明确分管领导，由办公室牵头做好统筹协调工作。明确政务公开工作人员2名，并进行操作流程规范培训，确保信息公开及时、有效和安全。二是修订完善政务公开保密审查制度。不断健全政府信息发布的保密审査机制，明确审查程序和责任人，有效推动和促进全镇政务公开工作规范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(二)强化政府平台建设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一是依法依规进行主动公开。按照要求主动、及时、全面公开相关政务信息。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二是规范依申请公开办理。根据要求对已申请公开进行程序规范，在政府平台畅通依申请公开渠道，2022年度，我镇未收到公民、法人或其他组织提出的政府信息公开申请。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(三)完善政府信息监督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宋体" w:hAnsi="宋体" w:eastAsia="宋体" w:cs="宋体"/>
        </w:rPr>
      </w:pPr>
      <w:r>
        <w:rPr>
          <w:rFonts w:hint="eastAsia" w:ascii="仿宋_GB2312" w:hAnsi="仿宋_GB2312" w:eastAsia="仿宋_GB2312" w:cs="仿宋_GB2312"/>
          <w:sz w:val="32"/>
          <w:szCs w:val="32"/>
          <w:lang w:val="en-US" w:eastAsia="zh-CN"/>
        </w:rPr>
        <w:t>一是完善监督制度。对政务信息的公开，层层把关，力求所公开的信息合法合规合理合情，不定期开展涉及社会主体及公民个人隐私信息泄露的排查工作，切实维护好政府机密信息和公民个人信息的安全。二是加强业务培训。积极参与政务公开工作的各类业务学习和培训，不断提高人员的业务水平。</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二、主动公开政府信息情况</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tbl>
      <w:tblPr>
        <w:tblStyle w:val="5"/>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color w:val="333333"/>
                <w:kern w:val="0"/>
                <w:sz w:val="20"/>
                <w:szCs w:val="20"/>
                <w:lang w:val="en-US" w:eastAsia="zh-CN" w:bidi="ar"/>
              </w:rPr>
              <w:t>制发件数</w:t>
            </w:r>
          </w:p>
        </w:tc>
        <w:tc>
          <w:tcPr>
            <w:tcW w:w="2435" w:type="dxa"/>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color w:val="333333"/>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Calibri" w:hAnsi="Calibri" w:eastAsia="宋体" w:cs="Calibri"/>
                <w:color w:val="333333"/>
                <w:kern w:val="2"/>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Calibri" w:hAnsi="Calibri" w:eastAsia="宋体" w:cs="Calibri"/>
                <w:color w:val="333333"/>
                <w:kern w:val="2"/>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Calibri" w:hAnsi="Calibri" w:eastAsia="宋体" w:cs="Calibri"/>
                <w:color w:val="333333"/>
                <w:kern w:val="2"/>
                <w:sz w:val="21"/>
                <w:szCs w:val="21"/>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三、收到和处理政府信息公开申请情况</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tbl>
      <w:tblPr>
        <w:tblStyle w:val="5"/>
        <w:tblW w:w="974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ascii="楷体" w:hAnsi="楷体" w:eastAsia="楷体" w:cs="楷体"/>
                <w:color w:val="333333"/>
                <w:kern w:val="0"/>
                <w:sz w:val="20"/>
                <w:szCs w:val="20"/>
                <w:lang w:val="en-US" w:eastAsia="zh-CN" w:bidi="ar"/>
              </w:rPr>
              <w:t>（本列数据的勾稽关系为：第一项加第二项之和，等于第三项加第四项之和）</w:t>
            </w:r>
          </w:p>
        </w:tc>
        <w:tc>
          <w:tcPr>
            <w:tcW w:w="4795" w:type="dxa"/>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685" w:type="dxa"/>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自然人</w:t>
            </w:r>
          </w:p>
        </w:tc>
        <w:tc>
          <w:tcPr>
            <w:tcW w:w="3425" w:type="dxa"/>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法人或其他组织</w:t>
            </w:r>
          </w:p>
        </w:tc>
        <w:tc>
          <w:tcPr>
            <w:tcW w:w="685" w:type="dxa"/>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685" w:type="dxa"/>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企业</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宋体" w:hAnsi="宋体" w:eastAsia="宋体" w:cs="宋体"/>
                <w:color w:val="333333"/>
                <w:kern w:val="0"/>
                <w:sz w:val="20"/>
                <w:szCs w:val="20"/>
                <w:lang w:val="en-US" w:eastAsia="zh-CN" w:bidi="ar"/>
              </w:rPr>
              <w:t>其他</w:t>
            </w:r>
          </w:p>
        </w:tc>
        <w:tc>
          <w:tcPr>
            <w:tcW w:w="685" w:type="dxa"/>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lang w:val="en-US"/>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三、本年度办理结果</w:t>
            </w: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（二）部分公开</w:t>
            </w:r>
            <w:r>
              <w:rPr>
                <w:rFonts w:hint="eastAsia" w:ascii="楷体" w:hAnsi="楷体" w:eastAsia="楷体" w:cs="楷体"/>
                <w:color w:val="333333"/>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（三）不予公开</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（四）无法提供</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（五）不予处理</w:t>
            </w:r>
          </w:p>
        </w:tc>
        <w:tc>
          <w:tcPr>
            <w:tcW w:w="3271"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2.重复申请</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3.要求提供公开出版物</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4.无正当理由大量反复申请</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nil"/>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5.要求行政机关确认或重新出具已获取信息</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（六）其他处理</w:t>
            </w: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pPr>
            <w:r>
              <w:rPr>
                <w:rFonts w:hint="eastAsia" w:ascii="宋体" w:hAnsi="宋体" w:eastAsia="宋体" w:cs="宋体"/>
                <w:color w:val="333333"/>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921" w:type="dxa"/>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27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754" w:type="dxa"/>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4192" w:type="dxa"/>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宋体" w:hAnsi="宋体" w:eastAsia="宋体" w:cs="宋体"/>
                <w:color w:val="333333"/>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eastAsia="宋体" w:cs="Calibri"/>
                <w:color w:val="333333"/>
                <w:kern w:val="0"/>
                <w:sz w:val="20"/>
                <w:szCs w:val="20"/>
                <w:lang w:val="en-US" w:eastAsia="zh-CN" w:bidi="ar"/>
              </w:rPr>
              <w:t> </w:t>
            </w:r>
            <w:r>
              <w:rPr>
                <w:rFonts w:hint="eastAsia" w:ascii="Calibri" w:hAnsi="Calibri" w:eastAsia="宋体" w:cs="Calibri"/>
                <w:color w:val="333333"/>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eastAsia="宋体" w:cs="Calibri"/>
                <w:color w:val="333333"/>
                <w:kern w:val="0"/>
                <w:sz w:val="20"/>
                <w:szCs w:val="20"/>
                <w:lang w:val="en-US" w:eastAsia="zh-CN" w:bidi="ar"/>
              </w:rPr>
              <w:t>0</w:t>
            </w:r>
            <w:r>
              <w:rPr>
                <w:rFonts w:hint="default" w:ascii="Calibri" w:hAnsi="Calibri" w:eastAsia="宋体" w:cs="Calibri"/>
                <w:color w:val="333333"/>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rPr>
          <w:rFonts w:hint="eastAsia" w:ascii="宋体" w:hAnsi="宋体" w:eastAsia="宋体" w:cs="宋体"/>
          <w:color w:val="333333"/>
          <w:sz w:val="24"/>
          <w:szCs w:val="24"/>
        </w:rPr>
      </w:pPr>
    </w:p>
    <w:tbl>
      <w:tblPr>
        <w:tblStyle w:val="5"/>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2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642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6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321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321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6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keepNext w:val="0"/>
        <w:keepLines w:val="0"/>
        <w:widowControl/>
        <w:suppressLineNumbers w:val="0"/>
        <w:jc w:val="left"/>
        <w:rPr>
          <w:b/>
          <w:bCs/>
        </w:rPr>
      </w:pPr>
    </w:p>
    <w:p>
      <w:pPr>
        <w:pStyle w:val="4"/>
        <w:keepNext w:val="0"/>
        <w:keepLines w:val="0"/>
        <w:widowControl/>
        <w:numPr>
          <w:ilvl w:val="0"/>
          <w:numId w:val="1"/>
        </w:numPr>
        <w:suppressLineNumbers w:val="0"/>
        <w:spacing w:before="0" w:beforeAutospacing="0" w:after="0" w:afterAutospacing="0" w:line="432" w:lineRule="auto"/>
        <w:ind w:left="0" w:firstLine="420"/>
        <w:jc w:val="both"/>
        <w:rPr>
          <w:rFonts w:hint="default" w:ascii="仿宋_GB2312" w:hAnsi="仿宋_GB2312" w:eastAsia="仿宋_GB2312" w:cs="仿宋_GB2312"/>
          <w:b/>
          <w:bCs/>
          <w:sz w:val="32"/>
          <w:szCs w:val="32"/>
          <w:lang w:val="en-US" w:eastAsia="zh-CN"/>
        </w:rPr>
      </w:pPr>
      <w:r>
        <w:rPr>
          <w:rFonts w:hint="eastAsia" w:ascii="宋体" w:hAnsi="宋体" w:eastAsia="宋体" w:cs="宋体"/>
          <w:b/>
          <w:bCs/>
          <w:color w:val="333333"/>
          <w:sz w:val="32"/>
          <w:szCs w:val="32"/>
        </w:rPr>
        <w:t>存在的主要问题及改进情况</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32" w:lineRule="auto"/>
        <w:ind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度</w:t>
      </w:r>
      <w:r>
        <w:rPr>
          <w:rFonts w:hint="default"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政府信息公开工作虽取得了一定的进步，但仍存在一些问题，主要是：一是政府信息公开工作的</w:t>
      </w:r>
      <w:r>
        <w:rPr>
          <w:rFonts w:hint="eastAsia" w:ascii="仿宋_GB2312" w:hAnsi="仿宋_GB2312" w:eastAsia="仿宋_GB2312" w:cs="仿宋_GB2312"/>
          <w:sz w:val="32"/>
          <w:szCs w:val="32"/>
          <w:lang w:val="en-US" w:eastAsia="zh-CN"/>
        </w:rPr>
        <w:t>广度深度</w:t>
      </w:r>
      <w:r>
        <w:rPr>
          <w:rFonts w:hint="default" w:ascii="仿宋_GB2312" w:hAnsi="仿宋_GB2312" w:eastAsia="仿宋_GB2312" w:cs="仿宋_GB2312"/>
          <w:sz w:val="32"/>
          <w:szCs w:val="32"/>
          <w:lang w:val="en-US" w:eastAsia="zh-CN"/>
        </w:rPr>
        <w:t>还不够；二是</w:t>
      </w:r>
      <w:r>
        <w:rPr>
          <w:rFonts w:hint="eastAsia" w:ascii="仿宋_GB2312" w:hAnsi="仿宋_GB2312" w:eastAsia="仿宋_GB2312" w:cs="仿宋_GB2312"/>
          <w:sz w:val="32"/>
          <w:szCs w:val="32"/>
          <w:lang w:val="en-US" w:eastAsia="zh-CN"/>
        </w:rPr>
        <w:t>政府</w:t>
      </w:r>
      <w:r>
        <w:rPr>
          <w:rFonts w:hint="default" w:ascii="仿宋_GB2312" w:hAnsi="仿宋_GB2312" w:eastAsia="仿宋_GB2312" w:cs="仿宋_GB2312"/>
          <w:sz w:val="32"/>
          <w:szCs w:val="32"/>
          <w:lang w:val="en-US" w:eastAsia="zh-CN"/>
        </w:rPr>
        <w:t>信息公开</w:t>
      </w:r>
      <w:r>
        <w:rPr>
          <w:rFonts w:hint="eastAsia" w:ascii="仿宋_GB2312" w:hAnsi="仿宋_GB2312" w:eastAsia="仿宋_GB2312" w:cs="仿宋_GB2312"/>
          <w:sz w:val="32"/>
          <w:szCs w:val="32"/>
          <w:lang w:val="en-US" w:eastAsia="zh-CN"/>
        </w:rPr>
        <w:t>工作的群众知晓度和宣传力度有待加强。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32" w:lineRule="auto"/>
        <w:ind w:right="0" w:rightChars="0" w:firstLine="640" w:firstLineChars="200"/>
        <w:jc w:val="both"/>
        <w:textAlignment w:val="auto"/>
        <w:rPr>
          <w:rFonts w:hint="eastAsia" w:ascii="宋体" w:hAnsi="宋体" w:eastAsia="仿宋" w:cs="宋体"/>
          <w:b/>
          <w:color w:val="333333"/>
          <w:sz w:val="24"/>
          <w:szCs w:val="24"/>
          <w:lang w:val="en-US" w:eastAsia="zh-CN"/>
        </w:rPr>
      </w:pPr>
      <w:r>
        <w:rPr>
          <w:rFonts w:hint="default" w:ascii="仿宋_GB2312" w:hAnsi="仿宋_GB2312" w:eastAsia="仿宋_GB2312" w:cs="仿宋_GB2312"/>
          <w:sz w:val="32"/>
          <w:szCs w:val="32"/>
          <w:lang w:val="en-US" w:eastAsia="zh-CN"/>
        </w:rPr>
        <w:t>为此，我</w:t>
      </w:r>
      <w:r>
        <w:rPr>
          <w:rFonts w:hint="eastAsia" w:ascii="仿宋_GB2312" w:hAnsi="仿宋_GB2312" w:eastAsia="仿宋_GB2312" w:cs="仿宋_GB2312"/>
          <w:sz w:val="32"/>
          <w:szCs w:val="32"/>
          <w:lang w:val="en-US" w:eastAsia="zh-CN"/>
        </w:rPr>
        <w:t>镇</w:t>
      </w:r>
      <w:r>
        <w:rPr>
          <w:rFonts w:hint="default" w:ascii="仿宋_GB2312" w:hAnsi="仿宋_GB2312" w:eastAsia="仿宋_GB2312" w:cs="仿宋_GB2312"/>
          <w:sz w:val="32"/>
          <w:szCs w:val="32"/>
          <w:lang w:val="en-US" w:eastAsia="zh-CN"/>
        </w:rPr>
        <w:t>将从以下几个方面重点改进：一是进一步</w:t>
      </w:r>
      <w:r>
        <w:rPr>
          <w:rFonts w:hint="eastAsia" w:ascii="仿宋_GB2312" w:hAnsi="仿宋_GB2312" w:eastAsia="仿宋_GB2312" w:cs="仿宋_GB2312"/>
          <w:sz w:val="32"/>
          <w:szCs w:val="32"/>
          <w:lang w:val="en-US" w:eastAsia="zh-CN"/>
        </w:rPr>
        <w:t>提高政府信息公开工作的质量</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让</w:t>
      </w:r>
      <w:r>
        <w:rPr>
          <w:rFonts w:hint="default" w:ascii="仿宋_GB2312" w:hAnsi="仿宋_GB2312" w:eastAsia="仿宋_GB2312" w:cs="仿宋_GB2312"/>
          <w:sz w:val="32"/>
          <w:szCs w:val="32"/>
          <w:lang w:val="en-US" w:eastAsia="zh-CN"/>
        </w:rPr>
        <w:t>政府信息公开工作</w:t>
      </w:r>
      <w:r>
        <w:rPr>
          <w:rFonts w:hint="eastAsia" w:ascii="仿宋_GB2312" w:hAnsi="仿宋_GB2312" w:eastAsia="仿宋_GB2312" w:cs="仿宋_GB2312"/>
          <w:sz w:val="32"/>
          <w:szCs w:val="32"/>
          <w:lang w:val="en-US" w:eastAsia="zh-CN"/>
        </w:rPr>
        <w:t>广度更广，深度更深。加大对政府信息公开工作的督促力度，加强</w:t>
      </w:r>
      <w:r>
        <w:rPr>
          <w:rFonts w:hint="default" w:ascii="仿宋_GB2312" w:hAnsi="仿宋_GB2312" w:eastAsia="仿宋_GB2312" w:cs="仿宋_GB2312"/>
          <w:sz w:val="32"/>
          <w:szCs w:val="32"/>
          <w:lang w:val="en-US" w:eastAsia="zh-CN"/>
        </w:rPr>
        <w:t>服务意识和公开意识，坚定不移地执行党的理论和路线方针政策，严格遵守政治纪律和政治规矩，推动政府信息公开工作。二是进一步</w:t>
      </w:r>
      <w:r>
        <w:rPr>
          <w:rFonts w:hint="eastAsia" w:ascii="仿宋_GB2312" w:hAnsi="仿宋_GB2312" w:eastAsia="仿宋_GB2312" w:cs="仿宋_GB2312"/>
          <w:sz w:val="32"/>
          <w:szCs w:val="32"/>
          <w:lang w:val="en-US" w:eastAsia="zh-CN"/>
        </w:rPr>
        <w:t>加强宣传，提升群众对于政</w:t>
      </w:r>
      <w:r>
        <w:rPr>
          <w:rFonts w:hint="default" w:ascii="仿宋_GB2312" w:hAnsi="仿宋_GB2312" w:eastAsia="仿宋_GB2312" w:cs="仿宋_GB2312"/>
          <w:sz w:val="32"/>
          <w:szCs w:val="32"/>
          <w:lang w:val="en-US" w:eastAsia="zh-CN"/>
        </w:rPr>
        <w:t>府信息公开工作</w:t>
      </w:r>
      <w:r>
        <w:rPr>
          <w:rFonts w:hint="eastAsia" w:ascii="仿宋_GB2312" w:hAnsi="仿宋_GB2312" w:eastAsia="仿宋_GB2312" w:cs="仿宋_GB2312"/>
          <w:sz w:val="32"/>
          <w:szCs w:val="32"/>
          <w:lang w:val="en-US" w:eastAsia="zh-CN"/>
        </w:rPr>
        <w:t>的认知度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针对</w:t>
      </w:r>
      <w:r>
        <w:rPr>
          <w:rFonts w:hint="default" w:ascii="仿宋_GB2312" w:hAnsi="仿宋_GB2312" w:eastAsia="仿宋_GB2312" w:cs="仿宋_GB2312"/>
          <w:sz w:val="32"/>
          <w:szCs w:val="32"/>
          <w:lang w:val="en-US" w:eastAsia="zh-CN"/>
        </w:rPr>
        <w:t>群众关注的重点领域信息公开，明确各领域公开内容和标准，</w:t>
      </w:r>
      <w:r>
        <w:rPr>
          <w:rFonts w:hint="eastAsia" w:ascii="仿宋_GB2312" w:hAnsi="仿宋_GB2312" w:eastAsia="仿宋_GB2312" w:cs="仿宋_GB2312"/>
          <w:sz w:val="32"/>
          <w:szCs w:val="32"/>
          <w:lang w:val="en-US" w:eastAsia="zh-CN"/>
        </w:rPr>
        <w:t>加强镇村联络，拓宽公开渠道，让</w:t>
      </w:r>
      <w:r>
        <w:rPr>
          <w:rFonts w:hint="eastAsia" w:ascii="仿宋" w:hAnsi="仿宋" w:eastAsia="仿宋" w:cs="仿宋"/>
          <w:i w:val="0"/>
          <w:iCs w:val="0"/>
          <w:caps w:val="0"/>
          <w:color w:val="000000"/>
          <w:spacing w:val="0"/>
          <w:sz w:val="32"/>
          <w:szCs w:val="32"/>
          <w:shd w:val="clear" w:fill="FFFFFF"/>
        </w:rPr>
        <w:t>群众</w:t>
      </w:r>
      <w:r>
        <w:rPr>
          <w:rFonts w:hint="eastAsia" w:ascii="仿宋" w:hAnsi="仿宋" w:eastAsia="仿宋" w:cs="仿宋"/>
          <w:i w:val="0"/>
          <w:iCs w:val="0"/>
          <w:caps w:val="0"/>
          <w:color w:val="000000"/>
          <w:spacing w:val="0"/>
          <w:sz w:val="32"/>
          <w:szCs w:val="32"/>
          <w:shd w:val="clear" w:fill="FFFFFF"/>
          <w:lang w:val="en-US" w:eastAsia="zh-CN"/>
        </w:rPr>
        <w:t>更多地</w:t>
      </w:r>
      <w:r>
        <w:rPr>
          <w:rFonts w:hint="eastAsia" w:ascii="仿宋" w:hAnsi="仿宋" w:eastAsia="仿宋" w:cs="仿宋"/>
          <w:i w:val="0"/>
          <w:iCs w:val="0"/>
          <w:caps w:val="0"/>
          <w:color w:val="000000"/>
          <w:spacing w:val="0"/>
          <w:sz w:val="32"/>
          <w:szCs w:val="32"/>
          <w:shd w:val="clear" w:fill="FFFFFF"/>
        </w:rPr>
        <w:t>了解政府信息公开的渠道、内容、服务方式</w:t>
      </w:r>
      <w:r>
        <w:rPr>
          <w:rFonts w:hint="eastAsia" w:ascii="仿宋" w:hAnsi="仿宋" w:eastAsia="仿宋" w:cs="仿宋"/>
          <w:i w:val="0"/>
          <w:iCs w:val="0"/>
          <w:caps w:val="0"/>
          <w:color w:val="000000"/>
          <w:spacing w:val="0"/>
          <w:sz w:val="32"/>
          <w:szCs w:val="32"/>
          <w:shd w:val="clear" w:fill="FFFFFF"/>
          <w:lang w:eastAsia="zh-CN"/>
        </w:rPr>
        <w:t>。</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b/>
          <w:color w:val="333333"/>
          <w:sz w:val="32"/>
          <w:szCs w:val="32"/>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六、其他需要报</w:t>
      </w:r>
      <w:bookmarkStart w:id="0" w:name="_GoBack"/>
      <w:bookmarkEnd w:id="0"/>
      <w:r>
        <w:rPr>
          <w:rFonts w:hint="eastAsia" w:ascii="宋体" w:hAnsi="宋体" w:eastAsia="宋体" w:cs="宋体"/>
          <w:b/>
          <w:color w:val="333333"/>
          <w:sz w:val="32"/>
          <w:szCs w:val="32"/>
        </w:rPr>
        <w:t>告的事项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暂无其他需要报告的事项。</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b/>
          <w:bCs/>
          <w:lang w:eastAsia="zh-CN"/>
        </w:rPr>
      </w:pPr>
    </w:p>
    <w:p>
      <w:pPr>
        <w:pStyle w:val="4"/>
        <w:keepNext w:val="0"/>
        <w:keepLines w:val="0"/>
        <w:widowControl/>
        <w:suppressLineNumbers w:val="0"/>
        <w:spacing w:before="0" w:beforeAutospacing="0" w:after="0" w:afterAutospacing="0" w:line="432" w:lineRule="auto"/>
        <w:jc w:val="right"/>
        <w:rPr>
          <w:rFonts w:hint="eastAsia" w:ascii="仿宋" w:hAnsi="仿宋" w:eastAsia="仿宋" w:cs="仿宋"/>
          <w:sz w:val="32"/>
          <w:szCs w:val="32"/>
          <w:lang w:eastAsia="zh-CN"/>
        </w:rPr>
      </w:pPr>
      <w:r>
        <w:rPr>
          <w:rFonts w:hint="eastAsia" w:ascii="仿宋" w:hAnsi="仿宋" w:eastAsia="仿宋" w:cs="仿宋"/>
          <w:b w:val="0"/>
          <w:bCs/>
          <w:color w:val="333333"/>
          <w:sz w:val="32"/>
          <w:szCs w:val="32"/>
          <w:lang w:val="en-US" w:eastAsia="zh-CN"/>
        </w:rPr>
        <w:t>保德县孙家沟镇人民政府</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2023年1月13日</w:t>
      </w:r>
    </w:p>
    <w:p>
      <w:pPr>
        <w:jc w:val="center"/>
        <w:rPr>
          <w:rFonts w:hint="eastAsia" w:eastAsiaTheme="minorEastAsia"/>
          <w:lang w:eastAsia="zh-CN"/>
        </w:rPr>
      </w:pPr>
    </w:p>
    <w:p>
      <w:pPr>
        <w:jc w:val="center"/>
        <w:rPr>
          <w:rFonts w:hint="eastAsia" w:eastAsiaTheme="minorEastAsia"/>
          <w:lang w:eastAsia="zh-CN"/>
        </w:rPr>
      </w:pPr>
    </w:p>
    <w:p>
      <w:pPr>
        <w:jc w:val="center"/>
        <w:rPr>
          <w:rFonts w:hint="eastAsia" w:eastAsiaTheme="minorEastAsia"/>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E3DA9"/>
    <w:multiLevelType w:val="singleLevel"/>
    <w:tmpl w:val="FEAE3DA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MTFmYzdjMTg5OWVmY2IxNjI1ODNhYjZmNThlMDUifQ=="/>
  </w:docVars>
  <w:rsids>
    <w:rsidRoot w:val="00000000"/>
    <w:rsid w:val="0148015C"/>
    <w:rsid w:val="017F358D"/>
    <w:rsid w:val="0241112E"/>
    <w:rsid w:val="06070659"/>
    <w:rsid w:val="07B40FAC"/>
    <w:rsid w:val="175816AE"/>
    <w:rsid w:val="18CA44BE"/>
    <w:rsid w:val="19A64C4A"/>
    <w:rsid w:val="1D2665F4"/>
    <w:rsid w:val="2D2B3D6C"/>
    <w:rsid w:val="2FF214C7"/>
    <w:rsid w:val="3E1E179F"/>
    <w:rsid w:val="4504461A"/>
    <w:rsid w:val="45933D32"/>
    <w:rsid w:val="489857A5"/>
    <w:rsid w:val="4AFF1F56"/>
    <w:rsid w:val="4BDC1E4C"/>
    <w:rsid w:val="55BE1054"/>
    <w:rsid w:val="5718756F"/>
    <w:rsid w:val="57AA650F"/>
    <w:rsid w:val="58BC6829"/>
    <w:rsid w:val="5B7E2077"/>
    <w:rsid w:val="5B9D2243"/>
    <w:rsid w:val="5D233098"/>
    <w:rsid w:val="5EFF58CB"/>
    <w:rsid w:val="600569D9"/>
    <w:rsid w:val="63732C3E"/>
    <w:rsid w:val="6685561B"/>
    <w:rsid w:val="74AF784E"/>
    <w:rsid w:val="7AEC380A"/>
    <w:rsid w:val="7BA5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yperlink"/>
    <w:basedOn w:val="6"/>
    <w:qFormat/>
    <w:uiPriority w:val="0"/>
    <w:rPr>
      <w:color w:val="000000"/>
      <w:u w:val="none"/>
    </w:rPr>
  </w:style>
  <w:style w:type="character" w:styleId="9">
    <w:name w:val="HTML Code"/>
    <w:basedOn w:val="6"/>
    <w:uiPriority w:val="0"/>
    <w:rPr>
      <w:rFonts w:ascii="Courier New" w:hAnsi="Courier New"/>
      <w:sz w:val="20"/>
    </w:rPr>
  </w:style>
  <w:style w:type="character" w:customStyle="1" w:styleId="10">
    <w:name w:val="font"/>
    <w:basedOn w:val="6"/>
    <w:qFormat/>
    <w:uiPriority w:val="0"/>
  </w:style>
  <w:style w:type="character" w:customStyle="1" w:styleId="11">
    <w:name w:val="font1"/>
    <w:basedOn w:val="6"/>
    <w:qFormat/>
    <w:uiPriority w:val="0"/>
  </w:style>
  <w:style w:type="character" w:customStyle="1" w:styleId="12">
    <w:name w:val="m01"/>
    <w:basedOn w:val="6"/>
    <w:uiPriority w:val="0"/>
  </w:style>
  <w:style w:type="character" w:customStyle="1" w:styleId="13">
    <w:name w:val="m011"/>
    <w:basedOn w:val="6"/>
    <w:qFormat/>
    <w:uiPriority w:val="0"/>
  </w:style>
  <w:style w:type="character" w:customStyle="1" w:styleId="14">
    <w:name w:val="tabg"/>
    <w:basedOn w:val="6"/>
    <w:qFormat/>
    <w:uiPriority w:val="0"/>
    <w:rPr>
      <w:color w:val="FFFFFF"/>
      <w:sz w:val="27"/>
      <w:szCs w:val="27"/>
    </w:rPr>
  </w:style>
  <w:style w:type="character" w:customStyle="1" w:styleId="15">
    <w:name w:val="name"/>
    <w:basedOn w:val="6"/>
    <w:qFormat/>
    <w:uiPriority w:val="0"/>
    <w:rPr>
      <w:color w:val="6A6A6A"/>
      <w:u w:val="single"/>
    </w:rPr>
  </w:style>
  <w:style w:type="character" w:customStyle="1" w:styleId="16">
    <w:name w:val="dates"/>
    <w:basedOn w:val="6"/>
    <w:qFormat/>
    <w:uiPriority w:val="0"/>
  </w:style>
  <w:style w:type="character" w:customStyle="1" w:styleId="17">
    <w:name w:val="hover15"/>
    <w:basedOn w:val="6"/>
    <w:qFormat/>
    <w:uiPriority w:val="0"/>
    <w:rPr>
      <w:color w:val="015293"/>
    </w:rPr>
  </w:style>
  <w:style w:type="character" w:customStyle="1" w:styleId="18">
    <w:name w:val="bg02"/>
    <w:basedOn w:val="6"/>
    <w:qFormat/>
    <w:uiPriority w:val="0"/>
  </w:style>
  <w:style w:type="character" w:customStyle="1" w:styleId="19">
    <w:name w:val="bg01"/>
    <w:basedOn w:val="6"/>
    <w:uiPriority w:val="0"/>
  </w:style>
  <w:style w:type="character" w:customStyle="1" w:styleId="20">
    <w:name w:val="more4"/>
    <w:basedOn w:val="6"/>
    <w:uiPriority w:val="0"/>
    <w:rPr>
      <w:color w:val="666666"/>
      <w:sz w:val="18"/>
      <w:szCs w:val="18"/>
    </w:rPr>
  </w:style>
  <w:style w:type="character" w:customStyle="1" w:styleId="21">
    <w:name w:val="laypage_curr"/>
    <w:basedOn w:val="6"/>
    <w:qFormat/>
    <w:uiPriority w:val="0"/>
    <w:rPr>
      <w:color w:val="FFFDF4"/>
      <w:shd w:val="clear" w:fill="0B67A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2072</Words>
  <Characters>2122</Characters>
  <Lines>0</Lines>
  <Paragraphs>0</Paragraphs>
  <TotalTime>6</TotalTime>
  <ScaleCrop>false</ScaleCrop>
  <LinksUpToDate>false</LinksUpToDate>
  <CharactersWithSpaces>2297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2022-01-19T03:16:00Z</dcterms:created>
  <dc:creator>Administrator</dc:creator>
  <cp:lastModifiedBy>Administrator</cp:lastModifiedBy>
  <dcterms:modified xsi:type="dcterms:W3CDTF">2023-01-13T08:00:26Z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1BCB185E37F64FA08369180084BEB02A</vt:lpwstr>
  </property>
</Properties>
</file>